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7B" w:rsidRPr="0088228E" w:rsidRDefault="008A3950" w:rsidP="006E558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6E5588" w:rsidRPr="0088228E">
        <w:rPr>
          <w:sz w:val="24"/>
          <w:szCs w:val="24"/>
          <w:lang w:val="en-US"/>
        </w:rPr>
        <w:t xml:space="preserve">ow to reflect Open Access </w:t>
      </w:r>
      <w:r w:rsidR="004523E3" w:rsidRPr="0088228E">
        <w:rPr>
          <w:sz w:val="24"/>
          <w:szCs w:val="24"/>
          <w:lang w:val="en-US"/>
        </w:rPr>
        <w:t xml:space="preserve">and license </w:t>
      </w:r>
      <w:r w:rsidR="006E5588" w:rsidRPr="0088228E">
        <w:rPr>
          <w:sz w:val="24"/>
          <w:szCs w:val="24"/>
          <w:lang w:val="en-US"/>
        </w:rPr>
        <w:t>information in MARC 21</w:t>
      </w:r>
      <w:r>
        <w:rPr>
          <w:sz w:val="24"/>
          <w:szCs w:val="24"/>
          <w:lang w:val="en-US"/>
        </w:rPr>
        <w:t>?</w:t>
      </w:r>
    </w:p>
    <w:p w:rsidR="006E5588" w:rsidRPr="00001F07" w:rsidRDefault="006E5588" w:rsidP="00576E6B">
      <w:pPr>
        <w:jc w:val="center"/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Reinhold Heuvelmann, German</w:t>
      </w:r>
      <w:r w:rsidR="004523E3" w:rsidRPr="00001F07">
        <w:rPr>
          <w:sz w:val="20"/>
          <w:szCs w:val="20"/>
          <w:lang w:val="en-US"/>
        </w:rPr>
        <w:t xml:space="preserve"> </w:t>
      </w:r>
      <w:r w:rsidRPr="00001F07">
        <w:rPr>
          <w:sz w:val="20"/>
          <w:szCs w:val="20"/>
          <w:lang w:val="en-US"/>
        </w:rPr>
        <w:t>National Library</w:t>
      </w:r>
      <w:r w:rsidR="006A1596">
        <w:rPr>
          <w:sz w:val="20"/>
          <w:szCs w:val="20"/>
          <w:lang w:val="en-US"/>
        </w:rPr>
        <w:tab/>
      </w:r>
      <w:r w:rsidR="006A1596">
        <w:rPr>
          <w:sz w:val="20"/>
          <w:szCs w:val="20"/>
          <w:lang w:val="en-US"/>
        </w:rPr>
        <w:tab/>
      </w:r>
      <w:bookmarkStart w:id="0" w:name="_GoBack"/>
      <w:bookmarkEnd w:id="0"/>
      <w:r w:rsidR="006A1596">
        <w:rPr>
          <w:sz w:val="20"/>
          <w:szCs w:val="20"/>
          <w:lang w:val="en-US"/>
        </w:rPr>
        <w:tab/>
      </w:r>
      <w:r w:rsidR="006A1596">
        <w:rPr>
          <w:sz w:val="20"/>
          <w:szCs w:val="20"/>
          <w:lang w:val="en-US"/>
        </w:rPr>
        <w:tab/>
      </w:r>
      <w:r w:rsidR="00001F07" w:rsidRPr="006A1596">
        <w:rPr>
          <w:i/>
          <w:sz w:val="20"/>
          <w:szCs w:val="20"/>
          <w:lang w:val="en-US"/>
        </w:rPr>
        <w:t xml:space="preserve">Revised </w:t>
      </w:r>
      <w:r w:rsidR="006A1596">
        <w:rPr>
          <w:i/>
          <w:sz w:val="20"/>
          <w:szCs w:val="20"/>
          <w:lang w:val="en-US"/>
        </w:rPr>
        <w:t xml:space="preserve">Version </w:t>
      </w:r>
      <w:r w:rsidR="00001F07" w:rsidRPr="006A1596">
        <w:rPr>
          <w:i/>
          <w:sz w:val="20"/>
          <w:szCs w:val="20"/>
          <w:lang w:val="en-US"/>
        </w:rPr>
        <w:t>March</w:t>
      </w:r>
      <w:r w:rsidRPr="006A1596">
        <w:rPr>
          <w:i/>
          <w:sz w:val="20"/>
          <w:szCs w:val="20"/>
          <w:lang w:val="en-US"/>
        </w:rPr>
        <w:t xml:space="preserve"> 2018</w:t>
      </w:r>
    </w:p>
    <w:p w:rsidR="006E5588" w:rsidRPr="00001F07" w:rsidRDefault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On behalf of libraries</w:t>
      </w:r>
      <w:r w:rsidR="00FE6FA8" w:rsidRPr="00001F07">
        <w:rPr>
          <w:sz w:val="20"/>
          <w:szCs w:val="20"/>
          <w:lang w:val="en-US"/>
        </w:rPr>
        <w:t xml:space="preserve"> in German speaking countries, the</w:t>
      </w:r>
      <w:r w:rsidRPr="00001F07">
        <w:rPr>
          <w:sz w:val="20"/>
          <w:szCs w:val="20"/>
          <w:lang w:val="en-US"/>
        </w:rPr>
        <w:t xml:space="preserve"> </w:t>
      </w:r>
      <w:r w:rsidRPr="00001F07">
        <w:rPr>
          <w:b/>
          <w:sz w:val="20"/>
          <w:szCs w:val="20"/>
          <w:lang w:val="en-US"/>
        </w:rPr>
        <w:t xml:space="preserve">Working Group on </w:t>
      </w:r>
      <w:r w:rsidR="0088228E" w:rsidRPr="00001F07">
        <w:rPr>
          <w:b/>
          <w:sz w:val="20"/>
          <w:szCs w:val="20"/>
          <w:lang w:val="en-US"/>
        </w:rPr>
        <w:t>Licenses</w:t>
      </w:r>
      <w:r w:rsidRPr="00001F07">
        <w:rPr>
          <w:sz w:val="20"/>
          <w:szCs w:val="20"/>
          <w:lang w:val="en-US"/>
        </w:rPr>
        <w:t xml:space="preserve"> (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Themengruppe Lizenzangaben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) has been </w:t>
      </w:r>
      <w:r w:rsidR="00FE6FA8" w:rsidRPr="00001F07">
        <w:rPr>
          <w:sz w:val="20"/>
          <w:szCs w:val="20"/>
          <w:lang w:val="en-US"/>
        </w:rPr>
        <w:t>created</w:t>
      </w:r>
      <w:r w:rsidRPr="00001F07">
        <w:rPr>
          <w:sz w:val="20"/>
          <w:szCs w:val="20"/>
          <w:lang w:val="en-US"/>
        </w:rPr>
        <w:t xml:space="preserve"> in 2016 as a subgroup of the Committee on Data Formats (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Fachgruppe Datenformate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). The group has started to analyze needs for </w:t>
      </w:r>
      <w:r w:rsidR="004523E3" w:rsidRPr="00001F07">
        <w:rPr>
          <w:sz w:val="20"/>
          <w:szCs w:val="20"/>
          <w:lang w:val="en-US"/>
        </w:rPr>
        <w:t xml:space="preserve">improving </w:t>
      </w:r>
      <w:r w:rsidRPr="00001F07">
        <w:rPr>
          <w:sz w:val="20"/>
          <w:szCs w:val="20"/>
          <w:lang w:val="en-US"/>
        </w:rPr>
        <w:t>license information in a standardized way in MARC 21</w:t>
      </w:r>
      <w:r w:rsidR="004523E3" w:rsidRPr="00001F07">
        <w:rPr>
          <w:sz w:val="20"/>
          <w:szCs w:val="20"/>
          <w:lang w:val="en-US"/>
        </w:rPr>
        <w:t>, and will then work on best practice recommendations</w:t>
      </w:r>
      <w:r w:rsidRPr="00001F07">
        <w:rPr>
          <w:sz w:val="20"/>
          <w:szCs w:val="20"/>
          <w:lang w:val="en-US"/>
        </w:rPr>
        <w:t>.</w:t>
      </w:r>
      <w:r w:rsidR="00FE6FA8" w:rsidRPr="00001F07">
        <w:rPr>
          <w:sz w:val="20"/>
          <w:szCs w:val="20"/>
          <w:lang w:val="en-US"/>
        </w:rPr>
        <w:t xml:space="preserve"> </w:t>
      </w:r>
      <w:r w:rsidR="006A1596">
        <w:rPr>
          <w:sz w:val="20"/>
          <w:szCs w:val="20"/>
          <w:lang w:val="en-US"/>
        </w:rPr>
        <w:t xml:space="preserve">The </w:t>
      </w:r>
      <w:r w:rsidR="00FE6FA8" w:rsidRPr="00001F07">
        <w:rPr>
          <w:sz w:val="20"/>
          <w:szCs w:val="20"/>
          <w:lang w:val="en-US"/>
        </w:rPr>
        <w:t xml:space="preserve">liaison to a </w:t>
      </w:r>
      <w:r w:rsidR="006A1596">
        <w:rPr>
          <w:sz w:val="20"/>
          <w:szCs w:val="20"/>
          <w:lang w:val="en-US"/>
        </w:rPr>
        <w:t xml:space="preserve">DINI AG KIM </w:t>
      </w:r>
      <w:r w:rsidR="00FE6FA8" w:rsidRPr="00001F07">
        <w:rPr>
          <w:sz w:val="20"/>
          <w:szCs w:val="20"/>
          <w:lang w:val="en-US"/>
        </w:rPr>
        <w:t xml:space="preserve">group with other metadata standards in scope </w:t>
      </w:r>
      <w:r w:rsidR="005C3BA0">
        <w:rPr>
          <w:sz w:val="20"/>
          <w:szCs w:val="20"/>
          <w:lang w:val="en-US"/>
        </w:rPr>
        <w:t xml:space="preserve">has been </w:t>
      </w:r>
      <w:r w:rsidR="00FE6FA8" w:rsidRPr="00001F07">
        <w:rPr>
          <w:sz w:val="20"/>
          <w:szCs w:val="20"/>
          <w:lang w:val="en-US"/>
        </w:rPr>
        <w:t>established.</w:t>
      </w:r>
    </w:p>
    <w:p w:rsidR="009C678C" w:rsidRPr="00001F07" w:rsidRDefault="009C678C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The Discussion Paper 2018-DP06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Versions of Resources in the MARC 21 Bibliographic Format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 </w:t>
      </w:r>
      <w:r w:rsidR="006A1596">
        <w:rPr>
          <w:sz w:val="20"/>
          <w:szCs w:val="20"/>
          <w:lang w:val="en-US"/>
        </w:rPr>
        <w:t xml:space="preserve">which was </w:t>
      </w:r>
      <w:r w:rsidRPr="00001F07">
        <w:rPr>
          <w:sz w:val="20"/>
          <w:szCs w:val="20"/>
          <w:lang w:val="en-US"/>
        </w:rPr>
        <w:t>on the agenda of the Midwinter 2018 MA</w:t>
      </w:r>
      <w:r w:rsidR="00576E6B" w:rsidRPr="00001F07">
        <w:rPr>
          <w:sz w:val="20"/>
          <w:szCs w:val="20"/>
          <w:lang w:val="en-US"/>
        </w:rPr>
        <w:t>C</w:t>
      </w:r>
      <w:r w:rsidR="006A1596">
        <w:rPr>
          <w:sz w:val="20"/>
          <w:szCs w:val="20"/>
          <w:lang w:val="en-US"/>
        </w:rPr>
        <w:t xml:space="preserve"> </w:t>
      </w:r>
      <w:r w:rsidRPr="00001F07">
        <w:rPr>
          <w:sz w:val="20"/>
          <w:szCs w:val="20"/>
          <w:lang w:val="en-US"/>
        </w:rPr>
        <w:t xml:space="preserve">has </w:t>
      </w:r>
      <w:r w:rsidR="00A70AF2" w:rsidRPr="00001F07">
        <w:rPr>
          <w:sz w:val="20"/>
          <w:szCs w:val="20"/>
          <w:lang w:val="en-US"/>
        </w:rPr>
        <w:t>some</w:t>
      </w:r>
      <w:r w:rsidRPr="00001F07">
        <w:rPr>
          <w:sz w:val="20"/>
          <w:szCs w:val="20"/>
          <w:lang w:val="en-US"/>
        </w:rPr>
        <w:t xml:space="preserve"> relationship to these efforts.</w:t>
      </w:r>
    </w:p>
    <w:p w:rsidR="006E5588" w:rsidRPr="00001F07" w:rsidRDefault="006E5588" w:rsidP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Two fields hav</w:t>
      </w:r>
      <w:r w:rsidR="00106E84" w:rsidRPr="00001F07">
        <w:rPr>
          <w:sz w:val="20"/>
          <w:szCs w:val="20"/>
          <w:lang w:val="en-US"/>
        </w:rPr>
        <w:t>e been identified for closer ana</w:t>
      </w:r>
      <w:r w:rsidR="00A70AF2" w:rsidRPr="00001F07">
        <w:rPr>
          <w:sz w:val="20"/>
          <w:szCs w:val="20"/>
          <w:lang w:val="en-US"/>
        </w:rPr>
        <w:t>lysi</w:t>
      </w:r>
      <w:r w:rsidRPr="00001F07">
        <w:rPr>
          <w:sz w:val="20"/>
          <w:szCs w:val="20"/>
          <w:lang w:val="en-US"/>
        </w:rPr>
        <w:t xml:space="preserve">s, field 506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Restrictions on Access Note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, containing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information about restrictions imposed on ac</w:t>
      </w:r>
      <w:r w:rsidR="00106E84" w:rsidRPr="00001F07">
        <w:rPr>
          <w:sz w:val="20"/>
          <w:szCs w:val="20"/>
          <w:lang w:val="en-US"/>
        </w:rPr>
        <w:t>cess to the described materials</w:t>
      </w:r>
      <w:r w:rsidR="00BA6EC4" w:rsidRPr="00001F07">
        <w:rPr>
          <w:sz w:val="20"/>
          <w:szCs w:val="20"/>
          <w:lang w:val="en-US"/>
        </w:rPr>
        <w:t>"</w:t>
      </w:r>
      <w:r w:rsidR="00106E84" w:rsidRPr="00001F07">
        <w:rPr>
          <w:sz w:val="20"/>
          <w:szCs w:val="20"/>
          <w:lang w:val="en-US"/>
        </w:rPr>
        <w:t xml:space="preserve">, and </w:t>
      </w:r>
      <w:r w:rsidRPr="00001F07">
        <w:rPr>
          <w:sz w:val="20"/>
          <w:szCs w:val="20"/>
          <w:lang w:val="en-US"/>
        </w:rPr>
        <w:t xml:space="preserve">field 540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Terms Governing Use and Reproduction Note</w:t>
      </w:r>
      <w:r w:rsidR="00BA6EC4" w:rsidRPr="00001F07">
        <w:rPr>
          <w:sz w:val="20"/>
          <w:szCs w:val="20"/>
          <w:lang w:val="en-US"/>
        </w:rPr>
        <w:t>"</w:t>
      </w:r>
      <w:r w:rsidR="00106E84" w:rsidRPr="00001F07">
        <w:rPr>
          <w:sz w:val="20"/>
          <w:szCs w:val="20"/>
          <w:lang w:val="en-US"/>
        </w:rPr>
        <w:t xml:space="preserve">, containing </w:t>
      </w:r>
      <w:r w:rsidR="00BA6EC4" w:rsidRPr="00001F07">
        <w:rPr>
          <w:sz w:val="20"/>
          <w:szCs w:val="20"/>
          <w:lang w:val="en-US"/>
        </w:rPr>
        <w:t>"</w:t>
      </w:r>
      <w:r w:rsidR="00106E84" w:rsidRPr="00001F07">
        <w:rPr>
          <w:sz w:val="20"/>
          <w:szCs w:val="20"/>
          <w:lang w:val="en-US"/>
        </w:rPr>
        <w:t xml:space="preserve">terms governing the use of the materials </w:t>
      </w:r>
      <w:r w:rsidR="00106E84" w:rsidRPr="00001F07">
        <w:rPr>
          <w:i/>
          <w:sz w:val="20"/>
          <w:szCs w:val="20"/>
          <w:lang w:val="en-US"/>
        </w:rPr>
        <w:t>after</w:t>
      </w:r>
      <w:r w:rsidR="00106E84" w:rsidRPr="00001F07">
        <w:rPr>
          <w:sz w:val="20"/>
          <w:szCs w:val="20"/>
          <w:lang w:val="en-US"/>
        </w:rPr>
        <w:t xml:space="preserve"> access has been provided</w:t>
      </w:r>
      <w:r w:rsidR="00BA6EC4" w:rsidRPr="00001F07">
        <w:rPr>
          <w:sz w:val="20"/>
          <w:szCs w:val="20"/>
          <w:lang w:val="en-US"/>
        </w:rPr>
        <w:t>"</w:t>
      </w:r>
      <w:r w:rsidR="00106E84" w:rsidRPr="00001F07">
        <w:rPr>
          <w:sz w:val="20"/>
          <w:szCs w:val="20"/>
          <w:lang w:val="en-US"/>
        </w:rPr>
        <w:t>.</w:t>
      </w:r>
    </w:p>
    <w:p w:rsidR="00106E84" w:rsidRPr="00001F07" w:rsidRDefault="009C678C" w:rsidP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Both fields have clear meanings</w:t>
      </w:r>
      <w:r w:rsidR="00576E6B" w:rsidRPr="00001F07">
        <w:rPr>
          <w:sz w:val="20"/>
          <w:szCs w:val="20"/>
          <w:lang w:val="en-US"/>
        </w:rPr>
        <w:t xml:space="preserve">, and </w:t>
      </w:r>
      <w:r w:rsidRPr="00001F07">
        <w:rPr>
          <w:sz w:val="20"/>
          <w:szCs w:val="20"/>
          <w:lang w:val="en-US"/>
        </w:rPr>
        <w:t xml:space="preserve">a subfield $u for a URI. </w:t>
      </w:r>
      <w:r w:rsidR="004523E3" w:rsidRPr="00001F07">
        <w:rPr>
          <w:sz w:val="20"/>
          <w:szCs w:val="20"/>
          <w:lang w:val="en-US"/>
        </w:rPr>
        <w:t>However, b</w:t>
      </w:r>
      <w:r w:rsidR="00106E84" w:rsidRPr="00001F07">
        <w:rPr>
          <w:sz w:val="20"/>
          <w:szCs w:val="20"/>
          <w:lang w:val="en-US"/>
        </w:rPr>
        <w:t xml:space="preserve">oth fields </w:t>
      </w:r>
      <w:r w:rsidR="006A1596">
        <w:rPr>
          <w:sz w:val="20"/>
          <w:szCs w:val="20"/>
          <w:lang w:val="en-US"/>
        </w:rPr>
        <w:t xml:space="preserve">seem to </w:t>
      </w:r>
      <w:r w:rsidR="00106E84" w:rsidRPr="00001F07">
        <w:rPr>
          <w:sz w:val="20"/>
          <w:szCs w:val="20"/>
          <w:lang w:val="en-US"/>
        </w:rPr>
        <w:t>need some extensions:</w:t>
      </w:r>
    </w:p>
    <w:p w:rsidR="00106E84" w:rsidRPr="00001F07" w:rsidRDefault="00106E84" w:rsidP="00C555AF">
      <w:pPr>
        <w:spacing w:after="0"/>
        <w:rPr>
          <w:sz w:val="20"/>
          <w:szCs w:val="20"/>
          <w:lang w:val="en-US"/>
        </w:rPr>
      </w:pPr>
      <w:r w:rsidRPr="00001F07">
        <w:rPr>
          <w:b/>
          <w:sz w:val="20"/>
          <w:szCs w:val="20"/>
          <w:lang w:val="en-US"/>
        </w:rPr>
        <w:t>Field 506</w:t>
      </w:r>
      <w:r w:rsidRPr="00001F07">
        <w:rPr>
          <w:sz w:val="20"/>
          <w:szCs w:val="20"/>
          <w:lang w:val="en-US"/>
        </w:rPr>
        <w:t xml:space="preserve"> has as first indicator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Restriction</w:t>
      </w:r>
      <w:r w:rsidR="00BA6EC4" w:rsidRPr="00001F07">
        <w:rPr>
          <w:sz w:val="20"/>
          <w:szCs w:val="20"/>
          <w:lang w:val="en-US"/>
        </w:rPr>
        <w:t>"</w:t>
      </w:r>
      <w:r w:rsidR="004523E3" w:rsidRPr="00001F07">
        <w:rPr>
          <w:sz w:val="20"/>
          <w:szCs w:val="20"/>
          <w:lang w:val="en-US"/>
        </w:rPr>
        <w:t xml:space="preserve">, with </w:t>
      </w:r>
      <w:r w:rsidRPr="00001F07">
        <w:rPr>
          <w:sz w:val="20"/>
          <w:szCs w:val="20"/>
          <w:lang w:val="en-US"/>
        </w:rPr>
        <w:t xml:space="preserve">the </w:t>
      </w:r>
      <w:r w:rsidR="004523E3" w:rsidRPr="00001F07">
        <w:rPr>
          <w:sz w:val="20"/>
          <w:szCs w:val="20"/>
          <w:lang w:val="en-US"/>
        </w:rPr>
        <w:t xml:space="preserve">defined </w:t>
      </w:r>
      <w:r w:rsidRPr="00001F07">
        <w:rPr>
          <w:sz w:val="20"/>
          <w:szCs w:val="20"/>
          <w:lang w:val="en-US"/>
        </w:rPr>
        <w:t>values:</w:t>
      </w:r>
    </w:p>
    <w:p w:rsidR="00106E84" w:rsidRPr="00001F07" w:rsidRDefault="00106E84" w:rsidP="00576E6B">
      <w:pPr>
        <w:spacing w:after="0" w:line="240" w:lineRule="auto"/>
        <w:ind w:left="709"/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# - No information provided</w:t>
      </w:r>
    </w:p>
    <w:p w:rsidR="00106E84" w:rsidRPr="00001F07" w:rsidRDefault="00106E84" w:rsidP="00576E6B">
      <w:pPr>
        <w:spacing w:after="0" w:line="240" w:lineRule="auto"/>
        <w:ind w:left="709"/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0 - No restrictions</w:t>
      </w:r>
    </w:p>
    <w:p w:rsidR="00106E84" w:rsidRPr="00001F07" w:rsidRDefault="00106E84" w:rsidP="00576E6B">
      <w:pPr>
        <w:spacing w:after="120" w:line="240" w:lineRule="auto"/>
        <w:ind w:left="709"/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1 - Restrictions apply</w:t>
      </w:r>
    </w:p>
    <w:p w:rsidR="00106E84" w:rsidRPr="00001F07" w:rsidRDefault="00106E84" w:rsidP="00106E84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We are reading 506 indicator 1 value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0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 as a good equivalent to w</w:t>
      </w:r>
      <w:r w:rsidR="00BA6EC4" w:rsidRPr="00001F07">
        <w:rPr>
          <w:sz w:val="20"/>
          <w:szCs w:val="20"/>
          <w:lang w:val="en-US"/>
        </w:rPr>
        <w:t>hat is now called "Open Access", and as a good equivalent to the element "free_to_read” from NISO RP-22-2015 "Access and License Indicators".</w:t>
      </w:r>
    </w:p>
    <w:p w:rsidR="00106E84" w:rsidRPr="00001F07" w:rsidRDefault="00106E84" w:rsidP="00106E84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With the information that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for continuing resources, the restrictions must apply to all issues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, we see the need for an additional indicator value, e.g.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2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, for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Restrictions apply in part</w:t>
      </w:r>
      <w:r w:rsidR="00BA6EC4" w:rsidRPr="00001F07">
        <w:rPr>
          <w:sz w:val="20"/>
          <w:szCs w:val="20"/>
          <w:lang w:val="en-US"/>
        </w:rPr>
        <w:t>"</w:t>
      </w:r>
      <w:r w:rsidR="00A70AF2" w:rsidRPr="00001F07">
        <w:rPr>
          <w:sz w:val="20"/>
          <w:szCs w:val="20"/>
          <w:lang w:val="en-US"/>
        </w:rPr>
        <w:t xml:space="preserve"> or </w:t>
      </w:r>
      <w:r w:rsidR="00BA6EC4" w:rsidRPr="00001F07">
        <w:rPr>
          <w:sz w:val="20"/>
          <w:szCs w:val="20"/>
          <w:lang w:val="en-US"/>
        </w:rPr>
        <w:t>"</w:t>
      </w:r>
      <w:r w:rsidR="00A70AF2" w:rsidRPr="00001F07">
        <w:rPr>
          <w:sz w:val="20"/>
          <w:szCs w:val="20"/>
          <w:lang w:val="en-US"/>
        </w:rPr>
        <w:t>Restrictions partly apply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, so that a continuing resource that consists of a mixture of articles, some under closed access conditions and others under open access conditions, can be marked with this information.</w:t>
      </w:r>
      <w:r w:rsidR="00001F07" w:rsidRPr="00001F07">
        <w:rPr>
          <w:sz w:val="20"/>
          <w:szCs w:val="20"/>
          <w:lang w:val="en-US"/>
        </w:rPr>
        <w:t xml:space="preserve"> This is sometimes described as "hybrid open access".</w:t>
      </w:r>
      <w:r w:rsidR="00001F07">
        <w:rPr>
          <w:sz w:val="20"/>
          <w:szCs w:val="20"/>
          <w:lang w:val="en-US"/>
        </w:rPr>
        <w:t xml:space="preserve"> Subfield $3 "</w:t>
      </w:r>
      <w:r w:rsidR="00001F07" w:rsidRPr="00001F07">
        <w:rPr>
          <w:sz w:val="20"/>
          <w:szCs w:val="20"/>
          <w:lang w:val="en-US"/>
        </w:rPr>
        <w:t>Materials specified</w:t>
      </w:r>
      <w:r w:rsidR="00001F07">
        <w:rPr>
          <w:sz w:val="20"/>
          <w:szCs w:val="20"/>
          <w:lang w:val="en-US"/>
        </w:rPr>
        <w:t>" may contain information about which</w:t>
      </w:r>
      <w:r w:rsidR="005C3BA0">
        <w:rPr>
          <w:sz w:val="20"/>
          <w:szCs w:val="20"/>
          <w:lang w:val="en-US"/>
        </w:rPr>
        <w:t xml:space="preserve"> parts fall into which category, </w:t>
      </w:r>
      <w:r w:rsidR="006A1596">
        <w:rPr>
          <w:sz w:val="20"/>
          <w:szCs w:val="20"/>
          <w:lang w:val="en-US"/>
        </w:rPr>
        <w:t>expressed in repeatable</w:t>
      </w:r>
      <w:r w:rsidR="005C3BA0">
        <w:rPr>
          <w:sz w:val="20"/>
          <w:szCs w:val="20"/>
          <w:lang w:val="en-US"/>
        </w:rPr>
        <w:t xml:space="preserve"> fields 506.</w:t>
      </w:r>
    </w:p>
    <w:p w:rsidR="00106E84" w:rsidRPr="00001F07" w:rsidRDefault="00106E84" w:rsidP="009C678C">
      <w:pPr>
        <w:rPr>
          <w:sz w:val="20"/>
          <w:szCs w:val="20"/>
          <w:lang w:val="en-US"/>
        </w:rPr>
      </w:pPr>
      <w:r w:rsidRPr="00001F07">
        <w:rPr>
          <w:b/>
          <w:sz w:val="20"/>
          <w:szCs w:val="20"/>
          <w:lang w:val="en-US"/>
        </w:rPr>
        <w:t>Field 540</w:t>
      </w:r>
      <w:r w:rsidR="00C555AF" w:rsidRPr="00001F07">
        <w:rPr>
          <w:sz w:val="20"/>
          <w:szCs w:val="20"/>
          <w:lang w:val="en-US"/>
        </w:rPr>
        <w:t xml:space="preserve"> has less </w:t>
      </w:r>
      <w:r w:rsidRPr="00001F07">
        <w:rPr>
          <w:sz w:val="20"/>
          <w:szCs w:val="20"/>
          <w:lang w:val="en-US"/>
        </w:rPr>
        <w:t>subfield</w:t>
      </w:r>
      <w:r w:rsidR="00C555AF" w:rsidRPr="00001F07">
        <w:rPr>
          <w:sz w:val="20"/>
          <w:szCs w:val="20"/>
          <w:lang w:val="en-US"/>
        </w:rPr>
        <w:t>s</w:t>
      </w:r>
      <w:r w:rsidRPr="00001F07">
        <w:rPr>
          <w:sz w:val="20"/>
          <w:szCs w:val="20"/>
          <w:lang w:val="en-US"/>
        </w:rPr>
        <w:t xml:space="preserve"> than field 506:</w:t>
      </w:r>
      <w:r w:rsidR="009C678C" w:rsidRPr="00001F07">
        <w:rPr>
          <w:sz w:val="20"/>
          <w:szCs w:val="20"/>
          <w:lang w:val="en-US"/>
        </w:rPr>
        <w:t xml:space="preserve"> </w:t>
      </w:r>
      <w:r w:rsidRPr="00001F07">
        <w:rPr>
          <w:sz w:val="20"/>
          <w:szCs w:val="20"/>
          <w:lang w:val="en-US"/>
        </w:rPr>
        <w:t xml:space="preserve">506 has been evolved by </w:t>
      </w:r>
      <w:r w:rsidR="00A70AF2" w:rsidRPr="00001F07">
        <w:rPr>
          <w:sz w:val="20"/>
          <w:szCs w:val="20"/>
          <w:lang w:val="en-US"/>
        </w:rPr>
        <w:t xml:space="preserve">adding </w:t>
      </w:r>
      <w:r w:rsidRPr="00001F07">
        <w:rPr>
          <w:sz w:val="20"/>
          <w:szCs w:val="20"/>
          <w:lang w:val="en-US"/>
        </w:rPr>
        <w:t xml:space="preserve">subfields $f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Standardized terminology for access restriction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 xml:space="preserve"> and $2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Source of term</w:t>
      </w:r>
      <w:r w:rsidR="00BA6EC4" w:rsidRPr="00001F07">
        <w:rPr>
          <w:sz w:val="20"/>
          <w:szCs w:val="20"/>
          <w:lang w:val="en-US"/>
        </w:rPr>
        <w:t>"</w:t>
      </w:r>
      <w:r w:rsidR="00B7778D" w:rsidRPr="00001F07">
        <w:rPr>
          <w:sz w:val="20"/>
          <w:szCs w:val="20"/>
          <w:lang w:val="en-US"/>
        </w:rPr>
        <w:t xml:space="preserve">, so that it can carry </w:t>
      </w:r>
      <w:r w:rsidR="009C678C" w:rsidRPr="00001F07">
        <w:rPr>
          <w:sz w:val="20"/>
          <w:szCs w:val="20"/>
          <w:lang w:val="en-US"/>
        </w:rPr>
        <w:t xml:space="preserve">data from controlled vocabularies, such as </w:t>
      </w:r>
      <w:r w:rsidR="00BA6EC4" w:rsidRPr="00001F07">
        <w:rPr>
          <w:sz w:val="20"/>
          <w:szCs w:val="20"/>
          <w:lang w:val="en-US"/>
        </w:rPr>
        <w:t>"</w:t>
      </w:r>
      <w:r w:rsidR="009C678C" w:rsidRPr="00001F07">
        <w:rPr>
          <w:sz w:val="20"/>
          <w:szCs w:val="20"/>
          <w:lang w:val="en-US"/>
        </w:rPr>
        <w:t>star</w:t>
      </w:r>
      <w:r w:rsidR="00BA6EC4" w:rsidRPr="00001F07">
        <w:rPr>
          <w:sz w:val="20"/>
          <w:szCs w:val="20"/>
          <w:lang w:val="en-US"/>
        </w:rPr>
        <w:t>"</w:t>
      </w:r>
      <w:r w:rsidR="009C678C" w:rsidRPr="00001F07">
        <w:rPr>
          <w:sz w:val="20"/>
          <w:szCs w:val="20"/>
          <w:lang w:val="en-US"/>
        </w:rPr>
        <w:t xml:space="preserve"> for the </w:t>
      </w:r>
      <w:r w:rsidR="00BA6EC4" w:rsidRPr="00001F07">
        <w:rPr>
          <w:sz w:val="20"/>
          <w:szCs w:val="20"/>
          <w:lang w:val="en-US"/>
        </w:rPr>
        <w:t>"</w:t>
      </w:r>
      <w:r w:rsidR="009C678C" w:rsidRPr="00001F07">
        <w:rPr>
          <w:sz w:val="20"/>
          <w:szCs w:val="20"/>
          <w:lang w:val="en-US"/>
        </w:rPr>
        <w:t>Standardized terminology for access restriction</w:t>
      </w:r>
      <w:r w:rsidR="00BA6EC4" w:rsidRPr="00001F07">
        <w:rPr>
          <w:sz w:val="20"/>
          <w:szCs w:val="20"/>
          <w:lang w:val="en-US"/>
        </w:rPr>
        <w:t>"</w:t>
      </w:r>
      <w:r w:rsidR="009C678C" w:rsidRPr="00001F07">
        <w:rPr>
          <w:sz w:val="20"/>
          <w:szCs w:val="20"/>
          <w:lang w:val="en-US"/>
        </w:rPr>
        <w:t xml:space="preserve">. Field 540 would need and deserve a similar structure, so that information taken from the list of Creative Commons licenses, </w:t>
      </w:r>
      <w:r w:rsidR="00C555AF" w:rsidRPr="00001F07">
        <w:rPr>
          <w:sz w:val="20"/>
          <w:szCs w:val="20"/>
          <w:lang w:val="en-US"/>
        </w:rPr>
        <w:t>and</w:t>
      </w:r>
      <w:r w:rsidR="009C678C" w:rsidRPr="00001F07">
        <w:rPr>
          <w:sz w:val="20"/>
          <w:szCs w:val="20"/>
          <w:lang w:val="en-US"/>
        </w:rPr>
        <w:t xml:space="preserve"> </w:t>
      </w:r>
      <w:r w:rsidR="00A70AF2" w:rsidRPr="00001F07">
        <w:rPr>
          <w:sz w:val="20"/>
          <w:szCs w:val="20"/>
          <w:lang w:val="en-US"/>
        </w:rPr>
        <w:t xml:space="preserve">from </w:t>
      </w:r>
      <w:r w:rsidR="009C678C" w:rsidRPr="00001F07">
        <w:rPr>
          <w:sz w:val="20"/>
          <w:szCs w:val="20"/>
          <w:lang w:val="en-US"/>
        </w:rPr>
        <w:t>the Rights</w:t>
      </w:r>
      <w:r w:rsidR="00A70AF2" w:rsidRPr="00001F07">
        <w:rPr>
          <w:sz w:val="20"/>
          <w:szCs w:val="20"/>
          <w:lang w:val="en-US"/>
        </w:rPr>
        <w:t>Statements</w:t>
      </w:r>
      <w:r w:rsidR="009C678C" w:rsidRPr="00001F07">
        <w:rPr>
          <w:sz w:val="20"/>
          <w:szCs w:val="20"/>
          <w:lang w:val="en-US"/>
        </w:rPr>
        <w:t xml:space="preserve"> </w:t>
      </w:r>
      <w:r w:rsidR="00A70AF2" w:rsidRPr="00001F07">
        <w:rPr>
          <w:sz w:val="20"/>
          <w:szCs w:val="20"/>
          <w:lang w:val="en-US"/>
        </w:rPr>
        <w:t>terminology</w:t>
      </w:r>
      <w:r w:rsidR="009C678C" w:rsidRPr="00001F07">
        <w:rPr>
          <w:sz w:val="20"/>
          <w:szCs w:val="20"/>
          <w:lang w:val="en-US"/>
        </w:rPr>
        <w:t>, can be carried in a more-than-textual way.</w:t>
      </w:r>
      <w:r w:rsidR="00001F07">
        <w:rPr>
          <w:sz w:val="20"/>
          <w:szCs w:val="20"/>
          <w:lang w:val="en-US"/>
        </w:rPr>
        <w:t xml:space="preserve"> The same</w:t>
      </w:r>
      <w:r w:rsidR="006A1596">
        <w:rPr>
          <w:sz w:val="20"/>
          <w:szCs w:val="20"/>
          <w:lang w:val="en-US"/>
        </w:rPr>
        <w:t xml:space="preserve"> existing</w:t>
      </w:r>
      <w:r w:rsidR="00001F07">
        <w:rPr>
          <w:sz w:val="20"/>
          <w:szCs w:val="20"/>
          <w:lang w:val="en-US"/>
        </w:rPr>
        <w:t xml:space="preserve"> MARC code list for "</w:t>
      </w:r>
      <w:r w:rsidR="00001F07" w:rsidRPr="00001F07">
        <w:rPr>
          <w:sz w:val="20"/>
          <w:szCs w:val="20"/>
          <w:lang w:val="en-US"/>
        </w:rPr>
        <w:t>Access Restriction Term Source Codes</w:t>
      </w:r>
      <w:r w:rsidR="00001F07">
        <w:rPr>
          <w:sz w:val="20"/>
          <w:szCs w:val="20"/>
          <w:lang w:val="en-US"/>
        </w:rPr>
        <w:t>" may be used for both field 506 and field 540.</w:t>
      </w:r>
    </w:p>
    <w:p w:rsidR="009C678C" w:rsidRPr="00001F07" w:rsidRDefault="009C678C" w:rsidP="009C678C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Furthermore, </w:t>
      </w:r>
      <w:r w:rsidRPr="00001F07">
        <w:rPr>
          <w:b/>
          <w:sz w:val="20"/>
          <w:szCs w:val="20"/>
          <w:lang w:val="en-US"/>
        </w:rPr>
        <w:t>chronological information</w:t>
      </w:r>
      <w:r w:rsidRPr="00001F07">
        <w:rPr>
          <w:sz w:val="20"/>
          <w:szCs w:val="20"/>
          <w:lang w:val="en-US"/>
        </w:rPr>
        <w:t xml:space="preserve"> plays a role in licensing information. </w:t>
      </w:r>
      <w:r w:rsidR="004523E3" w:rsidRPr="00001F07">
        <w:rPr>
          <w:sz w:val="20"/>
          <w:szCs w:val="20"/>
          <w:lang w:val="en-US"/>
        </w:rPr>
        <w:t>Some examples in the MARC documentation of field 506 already contain embargo information</w:t>
      </w:r>
      <w:r w:rsidR="005C3BA0">
        <w:rPr>
          <w:sz w:val="20"/>
          <w:szCs w:val="20"/>
          <w:lang w:val="en-US"/>
        </w:rPr>
        <w:t>, or an "opening date"</w:t>
      </w:r>
      <w:r w:rsidR="004523E3" w:rsidRPr="00001F07">
        <w:rPr>
          <w:sz w:val="20"/>
          <w:szCs w:val="20"/>
          <w:lang w:val="en-US"/>
        </w:rPr>
        <w:t>, e.g.</w:t>
      </w:r>
    </w:p>
    <w:p w:rsidR="004523E3" w:rsidRPr="00001F07" w:rsidRDefault="004523E3" w:rsidP="00576E6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01F07">
        <w:rPr>
          <w:rFonts w:ascii="Courier New" w:hAnsi="Courier New" w:cs="Courier New"/>
          <w:sz w:val="18"/>
          <w:szCs w:val="18"/>
          <w:lang w:val="en-US"/>
        </w:rPr>
        <w:t xml:space="preserve">506 ## 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$a</w:t>
      </w:r>
      <w:r w:rsidRPr="00001F07">
        <w:rPr>
          <w:rFonts w:ascii="Courier New" w:hAnsi="Courier New" w:cs="Courier New"/>
          <w:sz w:val="18"/>
          <w:szCs w:val="18"/>
          <w:shd w:val="clear" w:color="auto" w:fill="D9D9D9" w:themeFill="background1" w:themeFillShade="D9"/>
          <w:lang w:val="en-US"/>
        </w:rPr>
        <w:t>Closed for 30 years;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$d</w:t>
      </w:r>
      <w:r w:rsidRPr="00001F07">
        <w:rPr>
          <w:rFonts w:ascii="Courier New" w:hAnsi="Courier New" w:cs="Courier New"/>
          <w:sz w:val="18"/>
          <w:szCs w:val="18"/>
          <w:lang w:val="en-US"/>
        </w:rPr>
        <w:t>Federal government employees with a need to know.</w:t>
      </w:r>
    </w:p>
    <w:p w:rsidR="004523E3" w:rsidRPr="00001F07" w:rsidRDefault="004523E3" w:rsidP="00576E6B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01F07">
        <w:rPr>
          <w:rFonts w:ascii="Courier New" w:hAnsi="Courier New" w:cs="Courier New"/>
          <w:sz w:val="18"/>
          <w:szCs w:val="18"/>
          <w:lang w:val="en-US"/>
        </w:rPr>
        <w:t xml:space="preserve">506 1# 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$a</w:t>
      </w:r>
      <w:r w:rsidRPr="00001F07">
        <w:rPr>
          <w:rFonts w:ascii="Courier New" w:hAnsi="Courier New" w:cs="Courier New"/>
          <w:sz w:val="18"/>
          <w:szCs w:val="18"/>
          <w:lang w:val="en-US"/>
        </w:rPr>
        <w:t xml:space="preserve">Restricted: </w:t>
      </w:r>
      <w:r w:rsidRPr="00001F07">
        <w:rPr>
          <w:rFonts w:ascii="Courier New" w:hAnsi="Courier New" w:cs="Courier New"/>
          <w:sz w:val="18"/>
          <w:szCs w:val="18"/>
          <w:shd w:val="clear" w:color="auto" w:fill="D9D9D9" w:themeFill="background1" w:themeFillShade="D9"/>
          <w:lang w:val="en-US"/>
        </w:rPr>
        <w:t>cannot be viewed until 2010;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$d</w:t>
      </w:r>
      <w:r w:rsidRPr="00001F07">
        <w:rPr>
          <w:rFonts w:ascii="Courier New" w:hAnsi="Courier New" w:cs="Courier New"/>
          <w:sz w:val="18"/>
          <w:szCs w:val="18"/>
          <w:lang w:val="en-US"/>
        </w:rPr>
        <w:t>Members of donor's family.</w:t>
      </w:r>
    </w:p>
    <w:p w:rsidR="004523E3" w:rsidRPr="00001F07" w:rsidRDefault="004523E3" w:rsidP="00576E6B">
      <w:pPr>
        <w:spacing w:after="12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001F07">
        <w:rPr>
          <w:rFonts w:ascii="Courier New" w:hAnsi="Courier New" w:cs="Courier New"/>
          <w:sz w:val="18"/>
          <w:szCs w:val="18"/>
          <w:lang w:val="en-US"/>
        </w:rPr>
        <w:t xml:space="preserve">506 ## 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$a</w:t>
      </w:r>
      <w:r w:rsidRPr="00001F07">
        <w:rPr>
          <w:rFonts w:ascii="Courier New" w:hAnsi="Courier New" w:cs="Courier New"/>
          <w:sz w:val="18"/>
          <w:szCs w:val="18"/>
          <w:shd w:val="clear" w:color="auto" w:fill="D9D9D9" w:themeFill="background1" w:themeFillShade="D9"/>
          <w:lang w:val="en-US"/>
        </w:rPr>
        <w:t>Closed until January 1, 2068.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$f</w:t>
      </w:r>
      <w:r w:rsidRPr="00001F07">
        <w:rPr>
          <w:rFonts w:ascii="Courier New" w:hAnsi="Courier New" w:cs="Courier New"/>
          <w:sz w:val="18"/>
          <w:szCs w:val="18"/>
          <w:lang w:val="en-US"/>
        </w:rPr>
        <w:t>No online access</w:t>
      </w:r>
      <w:r w:rsidRPr="00001F07">
        <w:rPr>
          <w:rFonts w:ascii="Courier New" w:hAnsi="Courier New" w:cs="Courier New"/>
          <w:b/>
          <w:sz w:val="18"/>
          <w:szCs w:val="18"/>
          <w:lang w:val="en-US"/>
        </w:rPr>
        <w:t>$2</w:t>
      </w:r>
      <w:r w:rsidRPr="00001F07">
        <w:rPr>
          <w:rFonts w:ascii="Courier New" w:hAnsi="Courier New" w:cs="Courier New"/>
          <w:sz w:val="18"/>
          <w:szCs w:val="18"/>
          <w:lang w:val="en-US"/>
        </w:rPr>
        <w:t>star</w:t>
      </w:r>
    </w:p>
    <w:p w:rsidR="009C678C" w:rsidRPr="00001F07" w:rsidRDefault="004523E3" w:rsidP="009C678C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Here we are considering a more specific way to express an embargo</w:t>
      </w:r>
      <w:r w:rsidR="005C3BA0">
        <w:rPr>
          <w:sz w:val="20"/>
          <w:szCs w:val="20"/>
          <w:lang w:val="en-US"/>
        </w:rPr>
        <w:t xml:space="preserve"> or opening date</w:t>
      </w:r>
      <w:r w:rsidRPr="00001F07">
        <w:rPr>
          <w:sz w:val="20"/>
          <w:szCs w:val="20"/>
          <w:lang w:val="en-US"/>
        </w:rPr>
        <w:t xml:space="preserve">, and other chronological data. We are at an early stage of defining </w:t>
      </w:r>
      <w:r w:rsidR="00667DD2" w:rsidRPr="00001F07">
        <w:rPr>
          <w:sz w:val="20"/>
          <w:szCs w:val="20"/>
          <w:lang w:val="en-US"/>
        </w:rPr>
        <w:t>needs and possible MARC format extensions.</w:t>
      </w:r>
    </w:p>
    <w:p w:rsidR="00A029D6" w:rsidRPr="00001F07" w:rsidRDefault="00667DD2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Lastly, there is a local MARC 21 </w:t>
      </w:r>
      <w:r w:rsidRPr="00001F07">
        <w:rPr>
          <w:b/>
          <w:sz w:val="20"/>
          <w:szCs w:val="20"/>
          <w:lang w:val="en-US"/>
        </w:rPr>
        <w:t>field 912</w:t>
      </w:r>
      <w:r w:rsidR="005C3BA0" w:rsidRPr="005C3BA0">
        <w:rPr>
          <w:sz w:val="20"/>
          <w:szCs w:val="20"/>
          <w:lang w:val="en-US"/>
        </w:rPr>
        <w:t xml:space="preserve"> defined for Libraries in German speaking countries,</w:t>
      </w:r>
      <w:r w:rsidRPr="005C3BA0">
        <w:rPr>
          <w:sz w:val="20"/>
          <w:szCs w:val="20"/>
          <w:lang w:val="en-US"/>
        </w:rPr>
        <w:t xml:space="preserve"> </w:t>
      </w:r>
      <w:r w:rsidRPr="00001F07">
        <w:rPr>
          <w:sz w:val="20"/>
          <w:szCs w:val="20"/>
          <w:lang w:val="en-US"/>
        </w:rPr>
        <w:t xml:space="preserve">which contains information about a national license or a digital collection to which the resource described in the bibliographic record belongs. </w:t>
      </w:r>
      <w:r w:rsidR="00576E6B" w:rsidRPr="00001F07">
        <w:rPr>
          <w:sz w:val="20"/>
          <w:szCs w:val="20"/>
          <w:lang w:val="en-US"/>
        </w:rPr>
        <w:t xml:space="preserve">A publisher or service provider has defined a group of bibliographic resources, and offers them as a package. Each package is identified by an ISIL. </w:t>
      </w:r>
      <w:r w:rsidRPr="00001F07">
        <w:rPr>
          <w:sz w:val="20"/>
          <w:szCs w:val="20"/>
          <w:lang w:val="en-US"/>
        </w:rPr>
        <w:t>A year of license may be given as additional information.</w:t>
      </w:r>
      <w:r w:rsidR="00576E6B" w:rsidRPr="00001F07">
        <w:rPr>
          <w:sz w:val="20"/>
          <w:szCs w:val="20"/>
          <w:lang w:val="en-US"/>
        </w:rPr>
        <w:t xml:space="preserve"> </w:t>
      </w:r>
      <w:r w:rsidRPr="00001F07">
        <w:rPr>
          <w:sz w:val="20"/>
          <w:szCs w:val="20"/>
          <w:lang w:val="en-US"/>
        </w:rPr>
        <w:t>Here we are searching for a MARC 21 compliant solution for this</w:t>
      </w:r>
      <w:r w:rsidR="00576E6B" w:rsidRPr="00001F07">
        <w:rPr>
          <w:sz w:val="20"/>
          <w:szCs w:val="20"/>
          <w:lang w:val="en-US"/>
        </w:rPr>
        <w:t xml:space="preserve"> kind of</w:t>
      </w:r>
      <w:r w:rsidR="005C3BA0">
        <w:rPr>
          <w:sz w:val="20"/>
          <w:szCs w:val="20"/>
          <w:lang w:val="en-US"/>
        </w:rPr>
        <w:t xml:space="preserve"> information, similar to the entity "package" of the Codex Metadata Model used in Folio.</w:t>
      </w:r>
      <w:r w:rsidR="00A029D6" w:rsidRPr="00001F07">
        <w:rPr>
          <w:sz w:val="20"/>
          <w:szCs w:val="20"/>
          <w:lang w:val="en-US"/>
        </w:rPr>
        <w:br w:type="page"/>
      </w:r>
    </w:p>
    <w:p w:rsidR="00576E6B" w:rsidRPr="00001F07" w:rsidRDefault="00576E6B">
      <w:pPr>
        <w:rPr>
          <w:sz w:val="20"/>
          <w:szCs w:val="20"/>
          <w:u w:val="single"/>
          <w:lang w:val="en-US"/>
        </w:rPr>
      </w:pPr>
      <w:r w:rsidRPr="00001F07">
        <w:rPr>
          <w:sz w:val="20"/>
          <w:szCs w:val="20"/>
          <w:u w:val="single"/>
          <w:lang w:val="en-US"/>
        </w:rPr>
        <w:lastRenderedPageBreak/>
        <w:t>Links:</w:t>
      </w:r>
    </w:p>
    <w:p w:rsidR="00A70AF2" w:rsidRPr="00001F07" w:rsidRDefault="00A70AF2" w:rsidP="00A70AF2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Presentation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Open Access and License Representation in MARC 21</w:t>
      </w:r>
      <w:r w:rsidR="00BA6EC4" w:rsidRPr="00001F07">
        <w:rPr>
          <w:sz w:val="20"/>
          <w:szCs w:val="20"/>
          <w:lang w:val="en-US"/>
        </w:rPr>
        <w:t>"</w:t>
      </w:r>
      <w:r w:rsidR="006A1596">
        <w:rPr>
          <w:sz w:val="20"/>
          <w:szCs w:val="20"/>
          <w:lang w:val="en-US"/>
        </w:rPr>
        <w:t xml:space="preserve"> (March 2017)</w:t>
      </w:r>
    </w:p>
    <w:p w:rsidR="00A70AF2" w:rsidRPr="00001F07" w:rsidRDefault="00234B21" w:rsidP="00A70AF2">
      <w:pPr>
        <w:rPr>
          <w:sz w:val="20"/>
          <w:szCs w:val="20"/>
          <w:lang w:val="en-US"/>
        </w:rPr>
      </w:pPr>
      <w:hyperlink r:id="rId6" w:history="1">
        <w:r w:rsidR="00A70AF2" w:rsidRPr="00001F07">
          <w:rPr>
            <w:rStyle w:val="Hyperlink"/>
            <w:sz w:val="20"/>
            <w:szCs w:val="20"/>
            <w:lang w:val="en-US"/>
          </w:rPr>
          <w:t>https://www.slideshare.net/sollbruchstelle/open-access-and-license-representation-in-marc-21</w:t>
        </w:r>
      </w:hyperlink>
      <w:r w:rsidR="00A70AF2" w:rsidRPr="00001F07">
        <w:rPr>
          <w:sz w:val="20"/>
          <w:szCs w:val="20"/>
          <w:lang w:val="en-US"/>
        </w:rPr>
        <w:t xml:space="preserve"> </w:t>
      </w:r>
    </w:p>
    <w:p w:rsidR="00A70AF2" w:rsidRPr="00001F07" w:rsidRDefault="00A70AF2" w:rsidP="006A1596">
      <w:pPr>
        <w:spacing w:after="120"/>
        <w:rPr>
          <w:sz w:val="20"/>
          <w:szCs w:val="20"/>
          <w:lang w:val="en-US"/>
        </w:rPr>
      </w:pPr>
    </w:p>
    <w:p w:rsidR="006E5588" w:rsidRPr="00001F07" w:rsidRDefault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Field 506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Restrictions on Access Note</w:t>
      </w:r>
      <w:r w:rsidR="00BA6EC4" w:rsidRPr="00001F07">
        <w:rPr>
          <w:sz w:val="20"/>
          <w:szCs w:val="20"/>
          <w:lang w:val="en-US"/>
        </w:rPr>
        <w:t>"</w:t>
      </w:r>
    </w:p>
    <w:p w:rsidR="006E5588" w:rsidRPr="00001F07" w:rsidRDefault="00234B21">
      <w:pPr>
        <w:rPr>
          <w:sz w:val="20"/>
          <w:szCs w:val="20"/>
          <w:lang w:val="en-US"/>
        </w:rPr>
      </w:pPr>
      <w:hyperlink r:id="rId7" w:history="1">
        <w:r w:rsidR="006E5588" w:rsidRPr="00001F07">
          <w:rPr>
            <w:rStyle w:val="Hyperlink"/>
            <w:sz w:val="20"/>
            <w:szCs w:val="20"/>
            <w:lang w:val="en-US"/>
          </w:rPr>
          <w:t>http://www.loc.gov/marc/bibliographic/bd506.html</w:t>
        </w:r>
      </w:hyperlink>
      <w:r w:rsidR="006E5588" w:rsidRPr="00001F07">
        <w:rPr>
          <w:sz w:val="20"/>
          <w:szCs w:val="20"/>
          <w:lang w:val="en-US"/>
        </w:rPr>
        <w:t xml:space="preserve"> </w:t>
      </w:r>
    </w:p>
    <w:p w:rsidR="00576E6B" w:rsidRPr="00001F07" w:rsidRDefault="00576E6B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MARC Usage statistics of field 506</w:t>
      </w:r>
    </w:p>
    <w:p w:rsidR="00576E6B" w:rsidRPr="00001F07" w:rsidRDefault="00234B21">
      <w:pPr>
        <w:rPr>
          <w:sz w:val="20"/>
          <w:szCs w:val="20"/>
          <w:lang w:val="en-US"/>
        </w:rPr>
      </w:pPr>
      <w:hyperlink r:id="rId8" w:history="1">
        <w:r w:rsidR="00576E6B" w:rsidRPr="00001F07">
          <w:rPr>
            <w:rStyle w:val="Hyperlink"/>
            <w:sz w:val="20"/>
            <w:szCs w:val="20"/>
            <w:lang w:val="en-US"/>
          </w:rPr>
          <w:t>http://experimental.worldcat.org/marcusage/506.html</w:t>
        </w:r>
      </w:hyperlink>
      <w:r w:rsidR="00576E6B" w:rsidRPr="00001F07">
        <w:rPr>
          <w:sz w:val="20"/>
          <w:szCs w:val="20"/>
          <w:lang w:val="en-US"/>
        </w:rPr>
        <w:t xml:space="preserve"> </w:t>
      </w:r>
    </w:p>
    <w:p w:rsidR="00B867E4" w:rsidRPr="00001F07" w:rsidRDefault="00B867E4" w:rsidP="006A1596">
      <w:pPr>
        <w:spacing w:after="120"/>
        <w:rPr>
          <w:sz w:val="20"/>
          <w:szCs w:val="20"/>
          <w:lang w:val="en-US"/>
        </w:rPr>
      </w:pPr>
    </w:p>
    <w:p w:rsidR="006E5588" w:rsidRPr="00001F07" w:rsidRDefault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Field 540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Terms Governing Use and Reproduction Note</w:t>
      </w:r>
      <w:r w:rsidR="00BA6EC4" w:rsidRPr="00001F07">
        <w:rPr>
          <w:sz w:val="20"/>
          <w:szCs w:val="20"/>
          <w:lang w:val="en-US"/>
        </w:rPr>
        <w:t>"</w:t>
      </w:r>
    </w:p>
    <w:p w:rsidR="006E5588" w:rsidRPr="00001F07" w:rsidRDefault="00234B21">
      <w:pPr>
        <w:rPr>
          <w:sz w:val="20"/>
          <w:szCs w:val="20"/>
          <w:lang w:val="en-US"/>
        </w:rPr>
      </w:pPr>
      <w:hyperlink r:id="rId9" w:history="1">
        <w:r w:rsidR="006E5588" w:rsidRPr="00001F07">
          <w:rPr>
            <w:rStyle w:val="Hyperlink"/>
            <w:sz w:val="20"/>
            <w:szCs w:val="20"/>
            <w:lang w:val="en-US"/>
          </w:rPr>
          <w:t>http://www.loc.gov/marc/bibliographic/bd540.html</w:t>
        </w:r>
      </w:hyperlink>
      <w:r w:rsidR="006E5588" w:rsidRPr="00001F07">
        <w:rPr>
          <w:sz w:val="20"/>
          <w:szCs w:val="20"/>
          <w:lang w:val="en-US"/>
        </w:rPr>
        <w:t xml:space="preserve"> </w:t>
      </w:r>
    </w:p>
    <w:p w:rsidR="00576E6B" w:rsidRPr="00001F07" w:rsidRDefault="00576E6B" w:rsidP="00576E6B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MARC Usage statistics of field 540</w:t>
      </w:r>
    </w:p>
    <w:p w:rsidR="00576E6B" w:rsidRPr="00001F07" w:rsidRDefault="00234B21" w:rsidP="006E5588">
      <w:pPr>
        <w:rPr>
          <w:sz w:val="20"/>
          <w:szCs w:val="20"/>
          <w:lang w:val="en-US"/>
        </w:rPr>
      </w:pPr>
      <w:hyperlink r:id="rId10" w:history="1">
        <w:r w:rsidR="00576E6B" w:rsidRPr="00001F07">
          <w:rPr>
            <w:rStyle w:val="Hyperlink"/>
            <w:sz w:val="20"/>
            <w:szCs w:val="20"/>
            <w:lang w:val="en-US"/>
          </w:rPr>
          <w:t>http://experimental.worldcat.org/marcusage/540.html</w:t>
        </w:r>
      </w:hyperlink>
      <w:r w:rsidR="00576E6B" w:rsidRPr="00001F07">
        <w:rPr>
          <w:sz w:val="20"/>
          <w:szCs w:val="20"/>
          <w:lang w:val="en-US"/>
        </w:rPr>
        <w:t xml:space="preserve"> </w:t>
      </w:r>
    </w:p>
    <w:p w:rsidR="00B867E4" w:rsidRPr="00001F07" w:rsidRDefault="00B867E4" w:rsidP="006A1596">
      <w:pPr>
        <w:spacing w:after="120"/>
        <w:rPr>
          <w:sz w:val="20"/>
          <w:szCs w:val="20"/>
          <w:lang w:val="en-US"/>
        </w:rPr>
      </w:pPr>
    </w:p>
    <w:p w:rsidR="00A70AF2" w:rsidRPr="00001F07" w:rsidRDefault="00A70AF2" w:rsidP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Creative Commons</w:t>
      </w:r>
    </w:p>
    <w:p w:rsidR="00A70AF2" w:rsidRPr="00001F07" w:rsidRDefault="00234B21" w:rsidP="006E5588">
      <w:pPr>
        <w:rPr>
          <w:sz w:val="20"/>
          <w:szCs w:val="20"/>
          <w:lang w:val="en-US"/>
        </w:rPr>
      </w:pPr>
      <w:hyperlink r:id="rId11" w:history="1">
        <w:r w:rsidR="00A70AF2" w:rsidRPr="00001F07">
          <w:rPr>
            <w:rStyle w:val="Hyperlink"/>
            <w:sz w:val="20"/>
            <w:szCs w:val="20"/>
            <w:lang w:val="en-US"/>
          </w:rPr>
          <w:t>https://creativecommons.org</w:t>
        </w:r>
      </w:hyperlink>
      <w:r w:rsidR="00A70AF2" w:rsidRPr="00001F07">
        <w:rPr>
          <w:sz w:val="20"/>
          <w:szCs w:val="20"/>
          <w:lang w:val="en-US"/>
        </w:rPr>
        <w:t xml:space="preserve"> </w:t>
      </w:r>
    </w:p>
    <w:p w:rsidR="00A70AF2" w:rsidRPr="00001F07" w:rsidRDefault="00A70AF2" w:rsidP="006E5588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RightsStatements.org</w:t>
      </w:r>
    </w:p>
    <w:p w:rsidR="00A70AF2" w:rsidRPr="00001F07" w:rsidRDefault="00234B21" w:rsidP="006E5588">
      <w:pPr>
        <w:rPr>
          <w:sz w:val="20"/>
          <w:szCs w:val="20"/>
          <w:lang w:val="en-US"/>
        </w:rPr>
      </w:pPr>
      <w:hyperlink r:id="rId12" w:history="1">
        <w:r w:rsidR="00A70AF2" w:rsidRPr="00001F07">
          <w:rPr>
            <w:rStyle w:val="Hyperlink"/>
            <w:sz w:val="20"/>
            <w:szCs w:val="20"/>
            <w:lang w:val="en-US"/>
          </w:rPr>
          <w:t>http://rightsstatements.org</w:t>
        </w:r>
      </w:hyperlink>
      <w:r w:rsidR="00A70AF2" w:rsidRPr="00001F07">
        <w:rPr>
          <w:sz w:val="20"/>
          <w:szCs w:val="20"/>
          <w:lang w:val="en-US"/>
        </w:rPr>
        <w:t xml:space="preserve"> </w:t>
      </w:r>
    </w:p>
    <w:p w:rsidR="006E5588" w:rsidRPr="00001F07" w:rsidRDefault="006E5588" w:rsidP="006A1596">
      <w:pPr>
        <w:spacing w:after="120"/>
        <w:rPr>
          <w:sz w:val="20"/>
          <w:szCs w:val="20"/>
          <w:lang w:val="en-US"/>
        </w:rPr>
      </w:pPr>
    </w:p>
    <w:p w:rsidR="00B867E4" w:rsidRPr="00001F07" w:rsidRDefault="00B867E4" w:rsidP="00B867E4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>NISO RP-22</w:t>
      </w:r>
      <w:r w:rsidR="00FE6FA8" w:rsidRPr="00001F07">
        <w:rPr>
          <w:sz w:val="20"/>
          <w:szCs w:val="20"/>
          <w:lang w:val="en-US"/>
        </w:rPr>
        <w:t xml:space="preserve">-2015 </w:t>
      </w:r>
      <w:r w:rsidR="00BA6EC4" w:rsidRPr="00001F07">
        <w:rPr>
          <w:sz w:val="20"/>
          <w:szCs w:val="20"/>
          <w:lang w:val="en-US"/>
        </w:rPr>
        <w:t>"</w:t>
      </w:r>
      <w:r w:rsidR="00A70AF2" w:rsidRPr="00001F07">
        <w:rPr>
          <w:sz w:val="20"/>
          <w:szCs w:val="20"/>
          <w:lang w:val="en-US"/>
        </w:rPr>
        <w:t>A</w:t>
      </w:r>
      <w:r w:rsidR="00FE6FA8" w:rsidRPr="00001F07">
        <w:rPr>
          <w:sz w:val="20"/>
          <w:szCs w:val="20"/>
          <w:lang w:val="en-US"/>
        </w:rPr>
        <w:t>ccess and License Indicators</w:t>
      </w:r>
      <w:r w:rsidR="00BA6EC4" w:rsidRPr="00001F07">
        <w:rPr>
          <w:sz w:val="20"/>
          <w:szCs w:val="20"/>
          <w:lang w:val="en-US"/>
        </w:rPr>
        <w:t>"</w:t>
      </w:r>
    </w:p>
    <w:p w:rsidR="00FE6FA8" w:rsidRPr="00001F07" w:rsidRDefault="00234B21" w:rsidP="00B867E4">
      <w:pPr>
        <w:rPr>
          <w:sz w:val="20"/>
          <w:szCs w:val="20"/>
          <w:lang w:val="en-US"/>
        </w:rPr>
      </w:pPr>
      <w:hyperlink r:id="rId13" w:history="1">
        <w:r w:rsidR="00FE6FA8" w:rsidRPr="00001F07">
          <w:rPr>
            <w:rStyle w:val="Hyperlink"/>
            <w:sz w:val="20"/>
            <w:szCs w:val="20"/>
            <w:lang w:val="en-US"/>
          </w:rPr>
          <w:t>http://www.niso.org/publications/niso-rp-22-2015-access-and-license-indicators</w:t>
        </w:r>
      </w:hyperlink>
      <w:r w:rsidR="00FE6FA8" w:rsidRPr="00001F07">
        <w:rPr>
          <w:sz w:val="20"/>
          <w:szCs w:val="20"/>
          <w:lang w:val="en-US"/>
        </w:rPr>
        <w:t xml:space="preserve"> </w:t>
      </w:r>
    </w:p>
    <w:p w:rsidR="00B867E4" w:rsidRPr="00001F07" w:rsidRDefault="00234B21">
      <w:pPr>
        <w:rPr>
          <w:sz w:val="20"/>
          <w:szCs w:val="20"/>
          <w:lang w:val="en-US"/>
        </w:rPr>
      </w:pPr>
      <w:hyperlink r:id="rId14" w:history="1">
        <w:r w:rsidR="00FE6FA8" w:rsidRPr="00001F07">
          <w:rPr>
            <w:rStyle w:val="Hyperlink"/>
            <w:sz w:val="20"/>
            <w:szCs w:val="20"/>
            <w:lang w:val="en-US"/>
          </w:rPr>
          <w:t>http://groups.niso.org/apps/group_public/download.php/14226/rp-22-2015_ALI.pdf</w:t>
        </w:r>
      </w:hyperlink>
      <w:r w:rsidR="00FE6FA8" w:rsidRPr="00001F07">
        <w:rPr>
          <w:sz w:val="20"/>
          <w:szCs w:val="20"/>
          <w:lang w:val="en-US"/>
        </w:rPr>
        <w:t xml:space="preserve"> </w:t>
      </w:r>
    </w:p>
    <w:p w:rsidR="00FE6FA8" w:rsidRPr="00001F07" w:rsidRDefault="00FE6FA8" w:rsidP="006A1596">
      <w:pPr>
        <w:spacing w:after="120"/>
        <w:rPr>
          <w:sz w:val="20"/>
          <w:szCs w:val="20"/>
          <w:lang w:val="en-US"/>
        </w:rPr>
      </w:pPr>
    </w:p>
    <w:p w:rsidR="00A70AF2" w:rsidRPr="00001F07" w:rsidRDefault="00A70AF2" w:rsidP="00A70AF2">
      <w:pPr>
        <w:rPr>
          <w:sz w:val="20"/>
          <w:szCs w:val="20"/>
          <w:lang w:val="en-US"/>
        </w:rPr>
      </w:pPr>
      <w:r w:rsidRPr="00001F07">
        <w:rPr>
          <w:sz w:val="20"/>
          <w:szCs w:val="20"/>
          <w:lang w:val="en-US"/>
        </w:rPr>
        <w:t xml:space="preserve">MARC Discussion Paper no. 2018-DP06 </w:t>
      </w:r>
      <w:r w:rsidR="00BA6EC4" w:rsidRPr="00001F07">
        <w:rPr>
          <w:sz w:val="20"/>
          <w:szCs w:val="20"/>
          <w:lang w:val="en-US"/>
        </w:rPr>
        <w:t>"</w:t>
      </w:r>
      <w:r w:rsidRPr="00001F07">
        <w:rPr>
          <w:sz w:val="20"/>
          <w:szCs w:val="20"/>
          <w:lang w:val="en-US"/>
        </w:rPr>
        <w:t>Versions of Resources in the MARC 21 Bibliographic Format</w:t>
      </w:r>
      <w:r w:rsidR="00BA6EC4" w:rsidRPr="00001F07">
        <w:rPr>
          <w:sz w:val="20"/>
          <w:szCs w:val="20"/>
          <w:lang w:val="en-US"/>
        </w:rPr>
        <w:t>"</w:t>
      </w:r>
    </w:p>
    <w:p w:rsidR="00A70AF2" w:rsidRPr="00001F07" w:rsidRDefault="00234B21" w:rsidP="00A70AF2">
      <w:pPr>
        <w:rPr>
          <w:sz w:val="20"/>
          <w:szCs w:val="20"/>
          <w:lang w:val="en-US"/>
        </w:rPr>
      </w:pPr>
      <w:hyperlink r:id="rId15" w:history="1">
        <w:r w:rsidR="00A70AF2" w:rsidRPr="00001F07">
          <w:rPr>
            <w:rStyle w:val="Hyperlink"/>
            <w:sz w:val="20"/>
            <w:szCs w:val="20"/>
            <w:lang w:val="en-US"/>
          </w:rPr>
          <w:t>http://www.loc.gov/marc/mac/2018/2018-dp06.html</w:t>
        </w:r>
      </w:hyperlink>
      <w:r w:rsidR="00A70AF2" w:rsidRPr="00001F07">
        <w:rPr>
          <w:sz w:val="20"/>
          <w:szCs w:val="20"/>
          <w:lang w:val="en-US"/>
        </w:rPr>
        <w:t xml:space="preserve"> </w:t>
      </w:r>
    </w:p>
    <w:p w:rsidR="00A70AF2" w:rsidRDefault="00A70AF2" w:rsidP="006A1596">
      <w:pPr>
        <w:spacing w:after="120"/>
        <w:rPr>
          <w:sz w:val="20"/>
          <w:szCs w:val="20"/>
          <w:lang w:val="en-US"/>
        </w:rPr>
      </w:pPr>
    </w:p>
    <w:p w:rsidR="005C3BA0" w:rsidRDefault="005C3BA0" w:rsidP="00A70AF2">
      <w:pPr>
        <w:rPr>
          <w:sz w:val="20"/>
          <w:szCs w:val="20"/>
          <w:lang w:val="en-US"/>
        </w:rPr>
      </w:pPr>
      <w:r w:rsidRPr="005C3BA0">
        <w:rPr>
          <w:sz w:val="20"/>
          <w:szCs w:val="20"/>
          <w:lang w:val="en-US"/>
        </w:rPr>
        <w:t>Anwenderebene MARC 21 Titeldaten</w:t>
      </w:r>
      <w:r>
        <w:rPr>
          <w:sz w:val="20"/>
          <w:szCs w:val="20"/>
          <w:lang w:val="en-US"/>
        </w:rPr>
        <w:t xml:space="preserve"> (</w:t>
      </w:r>
      <w:r w:rsidR="006A1596">
        <w:rPr>
          <w:sz w:val="20"/>
          <w:szCs w:val="20"/>
          <w:lang w:val="en-US"/>
        </w:rPr>
        <w:t xml:space="preserve">MARC 21 Bibliographic local definitions, </w:t>
      </w:r>
      <w:r>
        <w:rPr>
          <w:sz w:val="20"/>
          <w:szCs w:val="20"/>
          <w:lang w:val="en-US"/>
        </w:rPr>
        <w:t>in German)</w:t>
      </w:r>
    </w:p>
    <w:p w:rsidR="005C3BA0" w:rsidRDefault="005C3BA0" w:rsidP="00A70AF2">
      <w:pPr>
        <w:rPr>
          <w:sz w:val="20"/>
          <w:szCs w:val="20"/>
          <w:lang w:val="en-US"/>
        </w:rPr>
      </w:pPr>
      <w:hyperlink r:id="rId16" w:history="1">
        <w:r w:rsidRPr="00E04C24">
          <w:rPr>
            <w:rStyle w:val="Hyperlink"/>
            <w:sz w:val="20"/>
            <w:szCs w:val="20"/>
            <w:lang w:val="en-US"/>
          </w:rPr>
          <w:t>https://wiki.dnb.de/display/MARC21AE/Anwenderebene+Titeldaten</w:t>
        </w:r>
      </w:hyperlink>
      <w:r>
        <w:rPr>
          <w:sz w:val="20"/>
          <w:szCs w:val="20"/>
          <w:lang w:val="en-US"/>
        </w:rPr>
        <w:t xml:space="preserve"> </w:t>
      </w:r>
    </w:p>
    <w:p w:rsidR="005C3BA0" w:rsidRDefault="005C3BA0" w:rsidP="006A1596">
      <w:pPr>
        <w:spacing w:after="120"/>
        <w:rPr>
          <w:sz w:val="20"/>
          <w:szCs w:val="20"/>
          <w:lang w:val="en-US"/>
        </w:rPr>
      </w:pPr>
    </w:p>
    <w:p w:rsidR="005C3BA0" w:rsidRDefault="005C3BA0" w:rsidP="00A70A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Codex Metadata Model</w:t>
      </w:r>
    </w:p>
    <w:p w:rsidR="005C3BA0" w:rsidRDefault="005C3BA0" w:rsidP="00A70AF2">
      <w:pPr>
        <w:rPr>
          <w:sz w:val="20"/>
          <w:szCs w:val="20"/>
          <w:lang w:val="en-US"/>
        </w:rPr>
      </w:pPr>
      <w:hyperlink r:id="rId17" w:history="1">
        <w:r w:rsidRPr="00E04C24">
          <w:rPr>
            <w:rStyle w:val="Hyperlink"/>
            <w:sz w:val="20"/>
            <w:szCs w:val="20"/>
            <w:lang w:val="en-US"/>
          </w:rPr>
          <w:t>https://wiki.folio.org/pages/viewpage.action?pageId=1415393</w:t>
        </w:r>
      </w:hyperlink>
      <w:r>
        <w:rPr>
          <w:sz w:val="20"/>
          <w:szCs w:val="20"/>
          <w:lang w:val="en-US"/>
        </w:rPr>
        <w:t xml:space="preserve"> </w:t>
      </w:r>
    </w:p>
    <w:p w:rsidR="005C3BA0" w:rsidRDefault="005C3BA0" w:rsidP="006A1596">
      <w:pPr>
        <w:spacing w:after="120"/>
        <w:rPr>
          <w:sz w:val="20"/>
          <w:szCs w:val="20"/>
          <w:lang w:val="en-US"/>
        </w:rPr>
      </w:pPr>
    </w:p>
    <w:p w:rsidR="005C3BA0" w:rsidRDefault="006A1596" w:rsidP="00A70A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DINI AG KIM, Lizenzen-Gruppe (in German)</w:t>
      </w:r>
    </w:p>
    <w:p w:rsidR="006A1596" w:rsidRDefault="006A1596" w:rsidP="00A70AF2">
      <w:pPr>
        <w:rPr>
          <w:sz w:val="20"/>
          <w:szCs w:val="20"/>
          <w:lang w:val="en-US"/>
        </w:rPr>
      </w:pPr>
      <w:hyperlink r:id="rId18" w:history="1">
        <w:r w:rsidRPr="00E04C24">
          <w:rPr>
            <w:rStyle w:val="Hyperlink"/>
            <w:sz w:val="20"/>
            <w:szCs w:val="20"/>
            <w:lang w:val="en-US"/>
          </w:rPr>
          <w:t>https://wiki.dnb.de/x/T4f9Bw</w:t>
        </w:r>
      </w:hyperlink>
      <w:r>
        <w:rPr>
          <w:sz w:val="20"/>
          <w:szCs w:val="20"/>
          <w:lang w:val="en-US"/>
        </w:rPr>
        <w:t xml:space="preserve"> </w:t>
      </w:r>
    </w:p>
    <w:sectPr w:rsidR="006A1596" w:rsidSect="00001F07">
      <w:footerReference w:type="default" r:id="rId19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AA" w:rsidRDefault="000412AA" w:rsidP="0088228E">
      <w:pPr>
        <w:spacing w:after="0" w:line="240" w:lineRule="auto"/>
      </w:pPr>
      <w:r>
        <w:separator/>
      </w:r>
    </w:p>
  </w:endnote>
  <w:endnote w:type="continuationSeparator" w:id="0">
    <w:p w:rsidR="000412AA" w:rsidRDefault="000412AA" w:rsidP="0088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10920"/>
      <w:docPartObj>
        <w:docPartGallery w:val="Page Numbers (Bottom of Page)"/>
        <w:docPartUnique/>
      </w:docPartObj>
    </w:sdtPr>
    <w:sdtEndPr/>
    <w:sdtContent>
      <w:p w:rsidR="0088228E" w:rsidRDefault="008822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21">
          <w:rPr>
            <w:noProof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 w:rsidR="00234B21">
            <w:rPr>
              <w:noProof/>
            </w:rPr>
            <w:t>2</w:t>
          </w:r>
        </w:fldSimple>
      </w:p>
    </w:sdtContent>
  </w:sdt>
  <w:p w:rsidR="0088228E" w:rsidRDefault="008822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AA" w:rsidRDefault="000412AA" w:rsidP="0088228E">
      <w:pPr>
        <w:spacing w:after="0" w:line="240" w:lineRule="auto"/>
      </w:pPr>
      <w:r>
        <w:separator/>
      </w:r>
    </w:p>
  </w:footnote>
  <w:footnote w:type="continuationSeparator" w:id="0">
    <w:p w:rsidR="000412AA" w:rsidRDefault="000412AA" w:rsidP="0088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D9"/>
    <w:rsid w:val="00001F07"/>
    <w:rsid w:val="000412AA"/>
    <w:rsid w:val="00064C83"/>
    <w:rsid w:val="00106E84"/>
    <w:rsid w:val="00234B21"/>
    <w:rsid w:val="004523E3"/>
    <w:rsid w:val="0052434E"/>
    <w:rsid w:val="00576E6B"/>
    <w:rsid w:val="005C3BA0"/>
    <w:rsid w:val="00667DD2"/>
    <w:rsid w:val="006A1596"/>
    <w:rsid w:val="006E5588"/>
    <w:rsid w:val="007C09CE"/>
    <w:rsid w:val="00861F2B"/>
    <w:rsid w:val="00870AD9"/>
    <w:rsid w:val="0088228E"/>
    <w:rsid w:val="008A3950"/>
    <w:rsid w:val="009C678C"/>
    <w:rsid w:val="00A029D6"/>
    <w:rsid w:val="00A43A20"/>
    <w:rsid w:val="00A70AF2"/>
    <w:rsid w:val="00AA6D62"/>
    <w:rsid w:val="00B7778D"/>
    <w:rsid w:val="00B867E4"/>
    <w:rsid w:val="00BA6EC4"/>
    <w:rsid w:val="00C555AF"/>
    <w:rsid w:val="00CA177B"/>
    <w:rsid w:val="00E7499B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C0B6"/>
  <w15:chartTrackingRefBased/>
  <w15:docId w15:val="{34F21E31-7AF3-4753-B694-91C4AA7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558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28E"/>
  </w:style>
  <w:style w:type="paragraph" w:styleId="Fuzeile">
    <w:name w:val="footer"/>
    <w:basedOn w:val="Standard"/>
    <w:link w:val="FuzeileZchn"/>
    <w:uiPriority w:val="99"/>
    <w:unhideWhenUsed/>
    <w:rsid w:val="0088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568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750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9248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5938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14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6203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94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92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7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33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235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al.worldcat.org/marcusage/506.html" TargetMode="External"/><Relationship Id="rId13" Type="http://schemas.openxmlformats.org/officeDocument/2006/relationships/hyperlink" Target="http://www.niso.org/publications/niso-rp-22-2015-access-and-license-indicators" TargetMode="External"/><Relationship Id="rId18" Type="http://schemas.openxmlformats.org/officeDocument/2006/relationships/hyperlink" Target="https://wiki.dnb.de/x/T4f9B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oc.gov/marc/bibliographic/bd506.html" TargetMode="External"/><Relationship Id="rId12" Type="http://schemas.openxmlformats.org/officeDocument/2006/relationships/hyperlink" Target="http://rightsstatements.org" TargetMode="External"/><Relationship Id="rId17" Type="http://schemas.openxmlformats.org/officeDocument/2006/relationships/hyperlink" Target="https://wiki.folio.org/pages/viewpage.action?pageId=14153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ki.dnb.de/display/MARC21AE/Anwenderebene+Titeldat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ideshare.net/sollbruchstelle/open-access-and-license-representation-in-marc-21" TargetMode="External"/><Relationship Id="rId11" Type="http://schemas.openxmlformats.org/officeDocument/2006/relationships/hyperlink" Target="https://creativecommon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c.gov/marc/mac/2018/2018-dp06.html" TargetMode="External"/><Relationship Id="rId10" Type="http://schemas.openxmlformats.org/officeDocument/2006/relationships/hyperlink" Target="http://experimental.worldcat.org/marcusage/540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oc.gov/marc/bibliographic/bd540.html" TargetMode="External"/><Relationship Id="rId14" Type="http://schemas.openxmlformats.org/officeDocument/2006/relationships/hyperlink" Target="http://groups.niso.org/apps/group_public/download.php/14226/rp-22-2015_ALI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889FD9B6.dotm</Template>
  <TotalTime>0</TotalTime>
  <Pages>2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How to reflect Open Access and license information in MARC 21?</vt:lpstr>
    </vt:vector>
  </TitlesOfParts>
  <Company>Deutsche Nationalbibliothek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reflect Open Access and license information in MARC 21?</dc:title>
  <dc:subject/>
  <dc:creator>Heuvelmann, Reinhold</dc:creator>
  <cp:keywords/>
  <dc:description/>
  <cp:lastModifiedBy>Heuvelmann, Reinhold</cp:lastModifiedBy>
  <cp:revision>18</cp:revision>
  <cp:lastPrinted>2018-03-12T15:44:00Z</cp:lastPrinted>
  <dcterms:created xsi:type="dcterms:W3CDTF">2018-02-01T14:38:00Z</dcterms:created>
  <dcterms:modified xsi:type="dcterms:W3CDTF">2018-03-12T15:44:00Z</dcterms:modified>
</cp:coreProperties>
</file>