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0E" w:rsidRDefault="00B7437C">
      <w:pPr>
        <w:rPr>
          <w:rFonts w:ascii="Verdana" w:hAnsi="Verdana"/>
          <w:sz w:val="32"/>
          <w:szCs w:val="32"/>
        </w:rPr>
      </w:pPr>
      <w:r w:rsidRPr="00B63F0E">
        <w:rPr>
          <w:rFonts w:ascii="Verdana" w:hAnsi="Verdana"/>
          <w:sz w:val="32"/>
          <w:szCs w:val="32"/>
        </w:rPr>
        <w:t>42</w:t>
      </w:r>
      <w:r w:rsidR="008C7115" w:rsidRPr="00B63F0E">
        <w:rPr>
          <w:rFonts w:ascii="Verdana" w:hAnsi="Verdana"/>
          <w:sz w:val="32"/>
          <w:szCs w:val="32"/>
        </w:rPr>
        <w:t>. Sitzung des Standardisierungsausschusses</w:t>
      </w:r>
      <w:r w:rsidR="00B63F0E">
        <w:rPr>
          <w:rFonts w:ascii="Verdana" w:hAnsi="Verdana"/>
          <w:sz w:val="32"/>
          <w:szCs w:val="32"/>
        </w:rPr>
        <w:br/>
      </w:r>
      <w:r w:rsidR="008C7115" w:rsidRPr="00B63F0E">
        <w:rPr>
          <w:rFonts w:ascii="Verdana" w:hAnsi="Verdana"/>
          <w:sz w:val="32"/>
          <w:szCs w:val="32"/>
        </w:rPr>
        <w:t xml:space="preserve">am </w:t>
      </w:r>
      <w:r w:rsidRPr="00B63F0E">
        <w:rPr>
          <w:rFonts w:ascii="Verdana" w:hAnsi="Verdana"/>
          <w:sz w:val="32"/>
          <w:szCs w:val="32"/>
        </w:rPr>
        <w:t>01.12.2022</w:t>
      </w:r>
      <w:r w:rsidR="00B63F0E">
        <w:rPr>
          <w:rFonts w:ascii="Verdana" w:hAnsi="Verdana"/>
          <w:sz w:val="32"/>
          <w:szCs w:val="32"/>
        </w:rPr>
        <w:t xml:space="preserve"> | </w:t>
      </w:r>
    </w:p>
    <w:p w:rsidR="008C7115" w:rsidRPr="00B63F0E" w:rsidRDefault="008C7115">
      <w:pPr>
        <w:rPr>
          <w:rFonts w:ascii="Verdana" w:hAnsi="Verdana"/>
          <w:sz w:val="32"/>
          <w:szCs w:val="32"/>
        </w:rPr>
      </w:pPr>
      <w:r w:rsidRPr="00B63F0E">
        <w:rPr>
          <w:rFonts w:ascii="Verdana" w:hAnsi="Verdana"/>
          <w:sz w:val="32"/>
          <w:szCs w:val="32"/>
        </w:rPr>
        <w:t xml:space="preserve">Sachstandsbericht der Arbeitsgruppe </w:t>
      </w:r>
      <w:proofErr w:type="spellStart"/>
      <w:r w:rsidR="00C02247">
        <w:rPr>
          <w:rFonts w:ascii="Verdana" w:hAnsi="Verdana"/>
          <w:sz w:val="32"/>
          <w:szCs w:val="32"/>
        </w:rPr>
        <w:t>Provenienzerschließung</w:t>
      </w:r>
      <w:proofErr w:type="spellEnd"/>
      <w:r w:rsidRPr="00B63F0E">
        <w:rPr>
          <w:rFonts w:ascii="Verdana" w:hAnsi="Verdana"/>
          <w:sz w:val="32"/>
          <w:szCs w:val="32"/>
        </w:rPr>
        <w:t xml:space="preserve"> </w:t>
      </w:r>
    </w:p>
    <w:p w:rsidR="008C7115" w:rsidRPr="00C02247" w:rsidRDefault="008C7115">
      <w:pPr>
        <w:rPr>
          <w:rFonts w:ascii="Verdana" w:hAnsi="Verdana"/>
          <w:sz w:val="18"/>
          <w:szCs w:val="18"/>
        </w:rPr>
      </w:pPr>
    </w:p>
    <w:p w:rsidR="008C7115" w:rsidRPr="00C02247" w:rsidRDefault="008C7115">
      <w:pPr>
        <w:rPr>
          <w:rFonts w:ascii="Verdana" w:hAnsi="Verdana"/>
          <w:sz w:val="18"/>
          <w:szCs w:val="18"/>
        </w:rPr>
      </w:pPr>
    </w:p>
    <w:tbl>
      <w:tblPr>
        <w:tblStyle w:val="Tabellenraster"/>
        <w:tblW w:w="0" w:type="auto"/>
        <w:tblLook w:val="04A0" w:firstRow="1" w:lastRow="0" w:firstColumn="1" w:lastColumn="0" w:noHBand="0" w:noVBand="1"/>
      </w:tblPr>
      <w:tblGrid>
        <w:gridCol w:w="9062"/>
      </w:tblGrid>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t>Berichtszeitraum</w:t>
            </w:r>
          </w:p>
        </w:tc>
      </w:tr>
      <w:tr w:rsidR="008C7115" w:rsidRPr="00C02247" w:rsidTr="000963AF">
        <w:tc>
          <w:tcPr>
            <w:tcW w:w="9062" w:type="dxa"/>
            <w:tcBorders>
              <w:bottom w:val="single" w:sz="4" w:space="0" w:color="auto"/>
            </w:tcBorders>
          </w:tcPr>
          <w:p w:rsidR="008C7115" w:rsidRPr="00C02247" w:rsidRDefault="008C7115">
            <w:pPr>
              <w:rPr>
                <w:rFonts w:ascii="Verdana" w:hAnsi="Verdana"/>
                <w:sz w:val="18"/>
                <w:szCs w:val="18"/>
              </w:rPr>
            </w:pPr>
          </w:p>
          <w:p w:rsidR="008C7115" w:rsidRPr="00C02247" w:rsidRDefault="00B550E5">
            <w:pPr>
              <w:rPr>
                <w:rFonts w:ascii="Verdana" w:hAnsi="Verdana"/>
                <w:sz w:val="18"/>
                <w:szCs w:val="18"/>
              </w:rPr>
            </w:pPr>
            <w:r w:rsidRPr="00C02247">
              <w:rPr>
                <w:rFonts w:ascii="Verdana" w:hAnsi="Verdana"/>
                <w:sz w:val="18"/>
                <w:szCs w:val="18"/>
              </w:rPr>
              <w:t>2. Halbjahr 2022</w:t>
            </w: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t>Hintergrund</w:t>
            </w:r>
          </w:p>
        </w:tc>
      </w:tr>
      <w:tr w:rsidR="008C7115" w:rsidRPr="00C02247" w:rsidTr="000963AF">
        <w:tc>
          <w:tcPr>
            <w:tcW w:w="9062" w:type="dxa"/>
            <w:tcBorders>
              <w:bottom w:val="single" w:sz="4" w:space="0" w:color="auto"/>
            </w:tcBorders>
          </w:tcPr>
          <w:p w:rsidR="008C7115" w:rsidRPr="00C02247" w:rsidRDefault="008C7115">
            <w:pPr>
              <w:rPr>
                <w:rFonts w:ascii="Verdana" w:hAnsi="Verdana"/>
                <w:sz w:val="18"/>
                <w:szCs w:val="18"/>
              </w:rPr>
            </w:pPr>
          </w:p>
          <w:p w:rsidR="008C7115" w:rsidRPr="00C02247" w:rsidRDefault="00C02247" w:rsidP="00C02247">
            <w:pPr>
              <w:spacing w:line="260" w:lineRule="exact"/>
              <w:rPr>
                <w:rFonts w:ascii="Verdana" w:hAnsi="Verdana"/>
                <w:sz w:val="18"/>
                <w:szCs w:val="18"/>
              </w:rPr>
            </w:pPr>
            <w:r w:rsidRPr="00C02247">
              <w:rPr>
                <w:rFonts w:ascii="Verdana" w:hAnsi="Verdana"/>
                <w:sz w:val="18"/>
                <w:szCs w:val="18"/>
              </w:rPr>
              <w:t xml:space="preserve">Seit 2017 beschäftigt sich eine </w:t>
            </w:r>
            <w:proofErr w:type="spellStart"/>
            <w:r w:rsidRPr="00C02247">
              <w:rPr>
                <w:rFonts w:ascii="Verdana" w:hAnsi="Verdana"/>
                <w:sz w:val="18"/>
                <w:szCs w:val="18"/>
              </w:rPr>
              <w:t>dbv</w:t>
            </w:r>
            <w:proofErr w:type="spellEnd"/>
            <w:r w:rsidRPr="00C02247">
              <w:rPr>
                <w:rFonts w:ascii="Verdana" w:hAnsi="Verdana"/>
                <w:sz w:val="18"/>
                <w:szCs w:val="18"/>
              </w:rPr>
              <w:t xml:space="preserve">-Kommission mit den Themen Provenienzforschung und </w:t>
            </w:r>
            <w:proofErr w:type="spellStart"/>
            <w:r w:rsidRPr="00C02247">
              <w:rPr>
                <w:rFonts w:ascii="Verdana" w:hAnsi="Verdana"/>
                <w:sz w:val="18"/>
                <w:szCs w:val="18"/>
              </w:rPr>
              <w:t>Provenienzerschließung</w:t>
            </w:r>
            <w:proofErr w:type="spellEnd"/>
            <w:r w:rsidRPr="00C02247">
              <w:rPr>
                <w:rFonts w:ascii="Verdana" w:hAnsi="Verdana"/>
                <w:sz w:val="18"/>
                <w:szCs w:val="18"/>
              </w:rPr>
              <w:t xml:space="preserve">. Aus dieser Gruppe heraus bestand der Wunsch, eine Sonderarbeitsgruppe unter dem Dach des Standardisierungsausschusses einzurichten, um Erschließungsfragen und Fragen zur Datenmodellierung für den dringend notwendigen verbundübergreifenden, aber auch spartenübergreifenden Austausch von </w:t>
            </w:r>
            <w:proofErr w:type="spellStart"/>
            <w:r w:rsidRPr="00C02247">
              <w:rPr>
                <w:rFonts w:ascii="Verdana" w:hAnsi="Verdana"/>
                <w:sz w:val="18"/>
                <w:szCs w:val="18"/>
              </w:rPr>
              <w:t>Provenienzdaten</w:t>
            </w:r>
            <w:proofErr w:type="spellEnd"/>
            <w:r w:rsidRPr="00C02247">
              <w:rPr>
                <w:rFonts w:ascii="Verdana" w:hAnsi="Verdana"/>
                <w:sz w:val="18"/>
                <w:szCs w:val="18"/>
              </w:rPr>
              <w:t xml:space="preserve"> weiter zu entwickeln und zu vereinfachen. Im Dezember 2020 hat der Standardisierungsausschuss die Einrichtung der Sonderarbeitsgruppe </w:t>
            </w:r>
            <w:proofErr w:type="spellStart"/>
            <w:r w:rsidRPr="00C02247">
              <w:rPr>
                <w:rFonts w:ascii="Verdana" w:hAnsi="Verdana"/>
                <w:sz w:val="18"/>
                <w:szCs w:val="18"/>
              </w:rPr>
              <w:t>Provenienzerschließung</w:t>
            </w:r>
            <w:proofErr w:type="spellEnd"/>
            <w:r w:rsidRPr="00C02247">
              <w:rPr>
                <w:rFonts w:ascii="Verdana" w:hAnsi="Verdana"/>
                <w:sz w:val="18"/>
                <w:szCs w:val="18"/>
              </w:rPr>
              <w:t xml:space="preserve"> einstimmig beschlossen.</w:t>
            </w: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t>Aktuelle Arbeiten</w:t>
            </w:r>
          </w:p>
        </w:tc>
      </w:tr>
      <w:tr w:rsidR="008C7115" w:rsidRPr="00C02247" w:rsidTr="000963AF">
        <w:tc>
          <w:tcPr>
            <w:tcW w:w="9062" w:type="dxa"/>
            <w:tcBorders>
              <w:bottom w:val="single" w:sz="4" w:space="0" w:color="auto"/>
            </w:tcBorders>
          </w:tcPr>
          <w:p w:rsidR="008C7115" w:rsidRPr="0020697A" w:rsidRDefault="008C7115">
            <w:pPr>
              <w:rPr>
                <w:rFonts w:ascii="Verdana" w:hAnsi="Verdana"/>
                <w:sz w:val="18"/>
                <w:szCs w:val="18"/>
                <w:lang w:val="en-US"/>
              </w:rPr>
            </w:pPr>
          </w:p>
          <w:p w:rsidR="00C02247" w:rsidRPr="00C02247" w:rsidRDefault="00C02247" w:rsidP="00C02247">
            <w:pPr>
              <w:rPr>
                <w:rFonts w:ascii="Verdana" w:hAnsi="Verdana"/>
                <w:b/>
                <w:sz w:val="18"/>
                <w:szCs w:val="18"/>
                <w:lang w:val="en-US"/>
              </w:rPr>
            </w:pPr>
            <w:r w:rsidRPr="00C02247">
              <w:rPr>
                <w:rFonts w:ascii="Verdana" w:hAnsi="Verdana"/>
                <w:b/>
                <w:sz w:val="18"/>
                <w:szCs w:val="18"/>
                <w:lang w:val="en-US"/>
              </w:rPr>
              <w:t xml:space="preserve">AP2: MARC Discussion Paper / </w:t>
            </w:r>
            <w:r>
              <w:rPr>
                <w:rFonts w:ascii="Verdana" w:hAnsi="Verdana"/>
                <w:b/>
                <w:sz w:val="18"/>
                <w:szCs w:val="18"/>
                <w:lang w:val="en-US"/>
              </w:rPr>
              <w:t xml:space="preserve">MARC </w:t>
            </w:r>
            <w:r w:rsidRPr="00C02247">
              <w:rPr>
                <w:rFonts w:ascii="Verdana" w:hAnsi="Verdana"/>
                <w:b/>
                <w:sz w:val="18"/>
                <w:szCs w:val="18"/>
                <w:lang w:val="en-US"/>
              </w:rPr>
              <w:t>Proposal</w:t>
            </w:r>
          </w:p>
          <w:p w:rsidR="00F26885" w:rsidRPr="0020697A" w:rsidRDefault="00F26885" w:rsidP="00C02247">
            <w:pPr>
              <w:rPr>
                <w:rFonts w:ascii="Verdana" w:hAnsi="Verdana"/>
                <w:sz w:val="18"/>
                <w:szCs w:val="18"/>
                <w:lang w:val="en-US"/>
              </w:rPr>
            </w:pPr>
          </w:p>
          <w:p w:rsidR="00C02247" w:rsidRDefault="00F26885" w:rsidP="00C02247">
            <w:pPr>
              <w:rPr>
                <w:rFonts w:ascii="Verdana" w:hAnsi="Verdana"/>
                <w:sz w:val="18"/>
                <w:szCs w:val="18"/>
                <w:lang w:val="de-CH"/>
              </w:rPr>
            </w:pPr>
            <w:r w:rsidRPr="00F26885">
              <w:rPr>
                <w:rFonts w:ascii="Verdana" w:hAnsi="Verdana"/>
                <w:sz w:val="18"/>
                <w:szCs w:val="18"/>
              </w:rPr>
              <w:t xml:space="preserve">Um die bisherige eher textbasierte MARC-Lösung mit Hilfe des Fußnotenfeldes 561 „Ownership </w:t>
            </w:r>
            <w:proofErr w:type="spellStart"/>
            <w:r w:rsidRPr="00F26885">
              <w:rPr>
                <w:rFonts w:ascii="Verdana" w:hAnsi="Verdana"/>
                <w:sz w:val="18"/>
                <w:szCs w:val="18"/>
              </w:rPr>
              <w:t>and</w:t>
            </w:r>
            <w:proofErr w:type="spellEnd"/>
            <w:r w:rsidRPr="00F26885">
              <w:rPr>
                <w:rFonts w:ascii="Verdana" w:hAnsi="Verdana"/>
                <w:sz w:val="18"/>
                <w:szCs w:val="18"/>
              </w:rPr>
              <w:t xml:space="preserve"> </w:t>
            </w:r>
            <w:proofErr w:type="spellStart"/>
            <w:r w:rsidRPr="00F26885">
              <w:rPr>
                <w:rFonts w:ascii="Verdana" w:hAnsi="Verdana"/>
                <w:sz w:val="18"/>
                <w:szCs w:val="18"/>
              </w:rPr>
              <w:t>Custodial</w:t>
            </w:r>
            <w:proofErr w:type="spellEnd"/>
            <w:r w:rsidRPr="00F26885">
              <w:rPr>
                <w:rFonts w:ascii="Verdana" w:hAnsi="Verdana"/>
                <w:sz w:val="18"/>
                <w:szCs w:val="18"/>
              </w:rPr>
              <w:t xml:space="preserve"> </w:t>
            </w:r>
            <w:proofErr w:type="spellStart"/>
            <w:r w:rsidRPr="00F26885">
              <w:rPr>
                <w:rFonts w:ascii="Verdana" w:hAnsi="Verdana"/>
                <w:sz w:val="18"/>
                <w:szCs w:val="18"/>
              </w:rPr>
              <w:t>History</w:t>
            </w:r>
            <w:proofErr w:type="spellEnd"/>
            <w:r w:rsidRPr="00F26885">
              <w:rPr>
                <w:rFonts w:ascii="Verdana" w:hAnsi="Verdana"/>
                <w:sz w:val="18"/>
                <w:szCs w:val="18"/>
              </w:rPr>
              <w:t>“</w:t>
            </w:r>
            <w:r w:rsidRPr="00F26885">
              <w:rPr>
                <w:rFonts w:ascii="Verdana" w:hAnsi="Verdana"/>
                <w:sz w:val="18"/>
                <w:szCs w:val="18"/>
                <w:vertAlign w:val="superscript"/>
              </w:rPr>
              <w:footnoteReference w:id="1"/>
            </w:r>
            <w:r w:rsidRPr="00F26885">
              <w:rPr>
                <w:rFonts w:ascii="Verdana" w:hAnsi="Verdana"/>
                <w:sz w:val="18"/>
                <w:szCs w:val="18"/>
              </w:rPr>
              <w:t xml:space="preserve"> jetzt hin zu einer datenorientierten und an die GND anbindbaren Lösung weiterzuentwickeln, wird ein neues MARC Feld „361“ mit dem Namen „</w:t>
            </w:r>
            <w:r w:rsidR="0020697A" w:rsidRPr="0020697A">
              <w:rPr>
                <w:rFonts w:ascii="Verdana" w:hAnsi="Verdana"/>
                <w:sz w:val="18"/>
                <w:szCs w:val="18"/>
              </w:rPr>
              <w:t xml:space="preserve">Ownership </w:t>
            </w:r>
            <w:proofErr w:type="spellStart"/>
            <w:r w:rsidR="0020697A" w:rsidRPr="0020697A">
              <w:rPr>
                <w:rFonts w:ascii="Verdana" w:hAnsi="Verdana"/>
                <w:sz w:val="18"/>
                <w:szCs w:val="18"/>
              </w:rPr>
              <w:t>and</w:t>
            </w:r>
            <w:proofErr w:type="spellEnd"/>
            <w:r w:rsidR="0020697A" w:rsidRPr="0020697A">
              <w:rPr>
                <w:rFonts w:ascii="Verdana" w:hAnsi="Verdana"/>
                <w:sz w:val="18"/>
                <w:szCs w:val="18"/>
              </w:rPr>
              <w:t xml:space="preserve"> </w:t>
            </w:r>
            <w:proofErr w:type="spellStart"/>
            <w:r w:rsidR="0020697A" w:rsidRPr="0020697A">
              <w:rPr>
                <w:rFonts w:ascii="Verdana" w:hAnsi="Verdana"/>
                <w:sz w:val="18"/>
                <w:szCs w:val="18"/>
              </w:rPr>
              <w:t>Custodial</w:t>
            </w:r>
            <w:proofErr w:type="spellEnd"/>
            <w:r w:rsidR="0020697A" w:rsidRPr="0020697A">
              <w:rPr>
                <w:rFonts w:ascii="Verdana" w:hAnsi="Verdana"/>
                <w:sz w:val="18"/>
                <w:szCs w:val="18"/>
              </w:rPr>
              <w:t xml:space="preserve"> </w:t>
            </w:r>
            <w:proofErr w:type="spellStart"/>
            <w:r w:rsidR="0020697A" w:rsidRPr="0020697A">
              <w:rPr>
                <w:rFonts w:ascii="Verdana" w:hAnsi="Verdana"/>
                <w:sz w:val="18"/>
                <w:szCs w:val="18"/>
              </w:rPr>
              <w:t>History</w:t>
            </w:r>
            <w:proofErr w:type="spellEnd"/>
            <w:r w:rsidR="0020697A" w:rsidRPr="0020697A">
              <w:rPr>
                <w:rFonts w:ascii="Verdana" w:hAnsi="Verdana"/>
                <w:sz w:val="18"/>
                <w:szCs w:val="18"/>
              </w:rPr>
              <w:t xml:space="preserve"> in Structured Form</w:t>
            </w:r>
            <w:r w:rsidRPr="00F26885">
              <w:rPr>
                <w:rFonts w:ascii="Verdana" w:hAnsi="Verdana"/>
                <w:sz w:val="18"/>
                <w:szCs w:val="18"/>
              </w:rPr>
              <w:t xml:space="preserve">“ beantragt. Das neue Feld soll über die drei Teilformate MARC Holdings, MARC </w:t>
            </w:r>
            <w:proofErr w:type="spellStart"/>
            <w:r w:rsidRPr="00F26885">
              <w:rPr>
                <w:rFonts w:ascii="Verdana" w:hAnsi="Verdana"/>
                <w:sz w:val="18"/>
                <w:szCs w:val="18"/>
              </w:rPr>
              <w:t>Bibliographic</w:t>
            </w:r>
            <w:proofErr w:type="spellEnd"/>
            <w:r w:rsidRPr="00F26885">
              <w:rPr>
                <w:rFonts w:ascii="Verdana" w:hAnsi="Verdana"/>
                <w:sz w:val="18"/>
                <w:szCs w:val="18"/>
              </w:rPr>
              <w:t xml:space="preserve"> und MARC Authority hinweg identisch definiert werden</w:t>
            </w:r>
          </w:p>
          <w:p w:rsidR="00F26885" w:rsidRDefault="00F26885" w:rsidP="00F26885">
            <w:pPr>
              <w:rPr>
                <w:rFonts w:ascii="Verdana" w:hAnsi="Verdana"/>
                <w:sz w:val="18"/>
                <w:szCs w:val="18"/>
              </w:rPr>
            </w:pPr>
          </w:p>
          <w:p w:rsidR="00F26885" w:rsidRDefault="00ED434C" w:rsidP="00F26885">
            <w:pPr>
              <w:rPr>
                <w:rFonts w:ascii="Verdana" w:hAnsi="Verdana"/>
                <w:sz w:val="18"/>
                <w:szCs w:val="18"/>
              </w:rPr>
            </w:pPr>
            <w:r w:rsidRPr="00ED434C">
              <w:rPr>
                <w:rFonts w:ascii="Verdana" w:hAnsi="Verdana"/>
                <w:sz w:val="18"/>
                <w:szCs w:val="18"/>
              </w:rPr>
              <w:t xml:space="preserve">In der Gruppe zum AP 2 wurde das </w:t>
            </w:r>
            <w:r>
              <w:rPr>
                <w:rFonts w:ascii="Verdana" w:hAnsi="Verdana"/>
                <w:sz w:val="18"/>
                <w:szCs w:val="18"/>
              </w:rPr>
              <w:t xml:space="preserve">Ende Juni bei den Treffen des MARC Advisory </w:t>
            </w:r>
            <w:proofErr w:type="spellStart"/>
            <w:r>
              <w:rPr>
                <w:rFonts w:ascii="Verdana" w:hAnsi="Verdana"/>
                <w:sz w:val="18"/>
                <w:szCs w:val="18"/>
              </w:rPr>
              <w:t>Committee</w:t>
            </w:r>
            <w:proofErr w:type="spellEnd"/>
            <w:r>
              <w:rPr>
                <w:rFonts w:ascii="Verdana" w:hAnsi="Verdana"/>
                <w:sz w:val="18"/>
                <w:szCs w:val="18"/>
              </w:rPr>
              <w:t xml:space="preserve"> diskutierte P</w:t>
            </w:r>
            <w:r w:rsidRPr="00ED434C">
              <w:rPr>
                <w:rFonts w:ascii="Verdana" w:hAnsi="Verdana"/>
                <w:sz w:val="18"/>
                <w:szCs w:val="18"/>
              </w:rPr>
              <w:t>apier „</w:t>
            </w:r>
            <w:proofErr w:type="spellStart"/>
            <w:r w:rsidRPr="00ED434C">
              <w:rPr>
                <w:rFonts w:ascii="Verdana" w:hAnsi="Verdana"/>
                <w:sz w:val="18"/>
                <w:szCs w:val="18"/>
              </w:rPr>
              <w:t>Defining</w:t>
            </w:r>
            <w:proofErr w:type="spellEnd"/>
            <w:r w:rsidRPr="00ED434C">
              <w:rPr>
                <w:rFonts w:ascii="Verdana" w:hAnsi="Verdana"/>
                <w:sz w:val="18"/>
                <w:szCs w:val="18"/>
              </w:rPr>
              <w:t xml:space="preserve"> a Field </w:t>
            </w:r>
            <w:proofErr w:type="spellStart"/>
            <w:r w:rsidRPr="00ED434C">
              <w:rPr>
                <w:rFonts w:ascii="Verdana" w:hAnsi="Verdana"/>
                <w:sz w:val="18"/>
                <w:szCs w:val="18"/>
              </w:rPr>
              <w:t>for</w:t>
            </w:r>
            <w:proofErr w:type="spellEnd"/>
            <w:r w:rsidRPr="00ED434C">
              <w:rPr>
                <w:rFonts w:ascii="Verdana" w:hAnsi="Verdana"/>
                <w:sz w:val="18"/>
                <w:szCs w:val="18"/>
              </w:rPr>
              <w:t xml:space="preserve"> </w:t>
            </w:r>
            <w:proofErr w:type="spellStart"/>
            <w:r w:rsidRPr="00ED434C">
              <w:rPr>
                <w:rFonts w:ascii="Verdana" w:hAnsi="Verdana"/>
                <w:sz w:val="18"/>
                <w:szCs w:val="18"/>
              </w:rPr>
              <w:t>Standardized</w:t>
            </w:r>
            <w:proofErr w:type="spellEnd"/>
            <w:r w:rsidRPr="00ED434C">
              <w:rPr>
                <w:rFonts w:ascii="Verdana" w:hAnsi="Verdana"/>
                <w:sz w:val="18"/>
                <w:szCs w:val="18"/>
              </w:rPr>
              <w:t xml:space="preserve"> </w:t>
            </w:r>
            <w:proofErr w:type="spellStart"/>
            <w:r w:rsidRPr="00ED434C">
              <w:rPr>
                <w:rFonts w:ascii="Verdana" w:hAnsi="Verdana"/>
                <w:sz w:val="18"/>
                <w:szCs w:val="18"/>
              </w:rPr>
              <w:t>Provenance</w:t>
            </w:r>
            <w:proofErr w:type="spellEnd"/>
            <w:r w:rsidRPr="00ED434C">
              <w:rPr>
                <w:rFonts w:ascii="Verdana" w:hAnsi="Verdana"/>
                <w:sz w:val="18"/>
                <w:szCs w:val="18"/>
              </w:rPr>
              <w:t xml:space="preserve"> Information in </w:t>
            </w:r>
            <w:proofErr w:type="spellStart"/>
            <w:r w:rsidRPr="00ED434C">
              <w:rPr>
                <w:rFonts w:ascii="Verdana" w:hAnsi="Verdana"/>
                <w:sz w:val="18"/>
                <w:szCs w:val="18"/>
              </w:rPr>
              <w:t>the</w:t>
            </w:r>
            <w:proofErr w:type="spellEnd"/>
            <w:r w:rsidRPr="00ED434C">
              <w:rPr>
                <w:rFonts w:ascii="Verdana" w:hAnsi="Verdana"/>
                <w:sz w:val="18"/>
                <w:szCs w:val="18"/>
              </w:rPr>
              <w:t xml:space="preserve"> MARC 21 </w:t>
            </w:r>
            <w:proofErr w:type="spellStart"/>
            <w:r w:rsidRPr="00ED434C">
              <w:rPr>
                <w:rFonts w:ascii="Verdana" w:hAnsi="Verdana"/>
                <w:sz w:val="18"/>
                <w:szCs w:val="18"/>
              </w:rPr>
              <w:t>Bibliographic</w:t>
            </w:r>
            <w:proofErr w:type="spellEnd"/>
            <w:r w:rsidRPr="00ED434C">
              <w:rPr>
                <w:rFonts w:ascii="Verdana" w:hAnsi="Verdana"/>
                <w:sz w:val="18"/>
                <w:szCs w:val="18"/>
              </w:rPr>
              <w:t xml:space="preserve">, Holdings, </w:t>
            </w:r>
            <w:proofErr w:type="spellStart"/>
            <w:r w:rsidRPr="00ED434C">
              <w:rPr>
                <w:rFonts w:ascii="Verdana" w:hAnsi="Verdana"/>
                <w:sz w:val="18"/>
                <w:szCs w:val="18"/>
              </w:rPr>
              <w:t>and</w:t>
            </w:r>
            <w:proofErr w:type="spellEnd"/>
            <w:r w:rsidRPr="00ED434C">
              <w:rPr>
                <w:rFonts w:ascii="Verdana" w:hAnsi="Verdana"/>
                <w:sz w:val="18"/>
                <w:szCs w:val="18"/>
              </w:rPr>
              <w:t xml:space="preserve"> Authority Formats“ </w:t>
            </w:r>
            <w:r>
              <w:rPr>
                <w:rFonts w:ascii="Verdana" w:hAnsi="Verdana"/>
                <w:sz w:val="18"/>
                <w:szCs w:val="18"/>
              </w:rPr>
              <w:t xml:space="preserve">zu einem </w:t>
            </w:r>
            <w:proofErr w:type="spellStart"/>
            <w:r>
              <w:rPr>
                <w:rFonts w:ascii="Verdana" w:hAnsi="Verdana"/>
                <w:sz w:val="18"/>
                <w:szCs w:val="18"/>
              </w:rPr>
              <w:t>Proposal</w:t>
            </w:r>
            <w:proofErr w:type="spellEnd"/>
            <w:r>
              <w:rPr>
                <w:rFonts w:ascii="Verdana" w:hAnsi="Verdana"/>
                <w:sz w:val="18"/>
                <w:szCs w:val="18"/>
              </w:rPr>
              <w:t xml:space="preserve"> ausgearbeitet</w:t>
            </w:r>
            <w:r w:rsidRPr="00ED434C">
              <w:rPr>
                <w:rFonts w:ascii="Verdana" w:hAnsi="Verdana"/>
                <w:sz w:val="18"/>
                <w:szCs w:val="18"/>
              </w:rPr>
              <w:t xml:space="preserve">, abgestimmt und </w:t>
            </w:r>
            <w:r w:rsidR="002F36C2">
              <w:rPr>
                <w:rFonts w:ascii="Verdana" w:hAnsi="Verdana"/>
                <w:sz w:val="18"/>
                <w:szCs w:val="18"/>
              </w:rPr>
              <w:t xml:space="preserve">am 8. November 2022 </w:t>
            </w:r>
            <w:r w:rsidRPr="00ED434C">
              <w:rPr>
                <w:rFonts w:ascii="Verdana" w:hAnsi="Verdana"/>
                <w:sz w:val="18"/>
                <w:szCs w:val="18"/>
              </w:rPr>
              <w:t xml:space="preserve">fristgerecht bei der Library </w:t>
            </w:r>
            <w:proofErr w:type="spellStart"/>
            <w:r w:rsidRPr="00ED434C">
              <w:rPr>
                <w:rFonts w:ascii="Verdana" w:hAnsi="Verdana"/>
                <w:sz w:val="18"/>
                <w:szCs w:val="18"/>
              </w:rPr>
              <w:t>of</w:t>
            </w:r>
            <w:proofErr w:type="spellEnd"/>
            <w:r w:rsidRPr="00ED434C">
              <w:rPr>
                <w:rFonts w:ascii="Verdana" w:hAnsi="Verdana"/>
                <w:sz w:val="18"/>
                <w:szCs w:val="18"/>
              </w:rPr>
              <w:t xml:space="preserve"> </w:t>
            </w:r>
            <w:proofErr w:type="spellStart"/>
            <w:r w:rsidRPr="00ED434C">
              <w:rPr>
                <w:rFonts w:ascii="Verdana" w:hAnsi="Verdana"/>
                <w:sz w:val="18"/>
                <w:szCs w:val="18"/>
              </w:rPr>
              <w:t>Congress</w:t>
            </w:r>
            <w:proofErr w:type="spellEnd"/>
            <w:r w:rsidRPr="00ED434C">
              <w:rPr>
                <w:rFonts w:ascii="Verdana" w:hAnsi="Verdana"/>
                <w:sz w:val="18"/>
                <w:szCs w:val="18"/>
              </w:rPr>
              <w:t xml:space="preserve"> eingereicht</w:t>
            </w:r>
            <w:r w:rsidR="006732CB">
              <w:rPr>
                <w:rFonts w:ascii="Verdana" w:hAnsi="Verdana"/>
                <w:sz w:val="18"/>
                <w:szCs w:val="18"/>
              </w:rPr>
              <w:t>.</w:t>
            </w:r>
          </w:p>
          <w:p w:rsidR="00F26885" w:rsidRDefault="00A02619" w:rsidP="00F26885">
            <w:pPr>
              <w:rPr>
                <w:rFonts w:ascii="Verdana" w:hAnsi="Verdana"/>
                <w:sz w:val="18"/>
                <w:szCs w:val="18"/>
              </w:rPr>
            </w:pPr>
            <w:r w:rsidRPr="00A02619">
              <w:rPr>
                <w:rFonts w:ascii="Verdana" w:hAnsi="Verdana"/>
                <w:sz w:val="18"/>
                <w:szCs w:val="18"/>
              </w:rPr>
              <w:t xml:space="preserve">Das </w:t>
            </w:r>
            <w:proofErr w:type="spellStart"/>
            <w:r w:rsidRPr="00A02619">
              <w:rPr>
                <w:rFonts w:ascii="Verdana" w:hAnsi="Verdana"/>
                <w:sz w:val="18"/>
                <w:szCs w:val="18"/>
              </w:rPr>
              <w:t>P</w:t>
            </w:r>
            <w:r>
              <w:rPr>
                <w:rFonts w:ascii="Verdana" w:hAnsi="Verdana"/>
                <w:sz w:val="18"/>
                <w:szCs w:val="18"/>
              </w:rPr>
              <w:t>roposal</w:t>
            </w:r>
            <w:proofErr w:type="spellEnd"/>
            <w:r>
              <w:rPr>
                <w:rFonts w:ascii="Verdana" w:hAnsi="Verdana"/>
                <w:sz w:val="18"/>
                <w:szCs w:val="18"/>
              </w:rPr>
              <w:t xml:space="preserve"> </w:t>
            </w:r>
            <w:r w:rsidRPr="00A02619">
              <w:rPr>
                <w:rFonts w:ascii="Verdana" w:hAnsi="Verdana"/>
                <w:sz w:val="18"/>
                <w:szCs w:val="18"/>
              </w:rPr>
              <w:t xml:space="preserve">wurde </w:t>
            </w:r>
            <w:r>
              <w:rPr>
                <w:rFonts w:ascii="Verdana" w:hAnsi="Verdana"/>
                <w:sz w:val="18"/>
                <w:szCs w:val="18"/>
              </w:rPr>
              <w:t xml:space="preserve">wie bereits das </w:t>
            </w:r>
            <w:proofErr w:type="spellStart"/>
            <w:r>
              <w:rPr>
                <w:rFonts w:ascii="Verdana" w:hAnsi="Verdana"/>
                <w:sz w:val="18"/>
                <w:szCs w:val="18"/>
              </w:rPr>
              <w:t>Discussion</w:t>
            </w:r>
            <w:proofErr w:type="spellEnd"/>
            <w:r>
              <w:rPr>
                <w:rFonts w:ascii="Verdana" w:hAnsi="Verdana"/>
                <w:sz w:val="18"/>
                <w:szCs w:val="18"/>
              </w:rPr>
              <w:t xml:space="preserve"> Paper </w:t>
            </w:r>
            <w:r w:rsidRPr="00A02619">
              <w:rPr>
                <w:rFonts w:ascii="Verdana" w:hAnsi="Verdana"/>
                <w:sz w:val="18"/>
                <w:szCs w:val="18"/>
              </w:rPr>
              <w:t xml:space="preserve">schon vorab verbreitet, auch international in der </w:t>
            </w:r>
            <w:proofErr w:type="spellStart"/>
            <w:r w:rsidRPr="00A02619">
              <w:rPr>
                <w:rFonts w:ascii="Verdana" w:hAnsi="Verdana"/>
                <w:sz w:val="18"/>
                <w:szCs w:val="18"/>
              </w:rPr>
              <w:t>Provenance</w:t>
            </w:r>
            <w:proofErr w:type="spellEnd"/>
            <w:r w:rsidRPr="00A02619">
              <w:rPr>
                <w:rFonts w:ascii="Verdana" w:hAnsi="Verdana"/>
                <w:sz w:val="18"/>
                <w:szCs w:val="18"/>
              </w:rPr>
              <w:t xml:space="preserve"> Working Group des </w:t>
            </w:r>
            <w:proofErr w:type="spellStart"/>
            <w:r w:rsidRPr="00A02619">
              <w:rPr>
                <w:rFonts w:ascii="Verdana" w:hAnsi="Verdana"/>
                <w:sz w:val="18"/>
                <w:szCs w:val="18"/>
              </w:rPr>
              <w:t>Consortium</w:t>
            </w:r>
            <w:proofErr w:type="spellEnd"/>
            <w:r w:rsidRPr="00A02619">
              <w:rPr>
                <w:rFonts w:ascii="Verdana" w:hAnsi="Verdana"/>
                <w:sz w:val="18"/>
                <w:szCs w:val="18"/>
              </w:rPr>
              <w:t xml:space="preserve"> </w:t>
            </w:r>
            <w:proofErr w:type="spellStart"/>
            <w:r w:rsidRPr="00A02619">
              <w:rPr>
                <w:rFonts w:ascii="Verdana" w:hAnsi="Verdana"/>
                <w:sz w:val="18"/>
                <w:szCs w:val="18"/>
              </w:rPr>
              <w:t>of</w:t>
            </w:r>
            <w:proofErr w:type="spellEnd"/>
            <w:r w:rsidRPr="00A02619">
              <w:rPr>
                <w:rFonts w:ascii="Verdana" w:hAnsi="Verdana"/>
                <w:sz w:val="18"/>
                <w:szCs w:val="18"/>
              </w:rPr>
              <w:t xml:space="preserve"> European Research Libraries (CERL), und in der ALA ACRL Rare Books </w:t>
            </w:r>
            <w:proofErr w:type="spellStart"/>
            <w:r w:rsidRPr="00A02619">
              <w:rPr>
                <w:rFonts w:ascii="Verdana" w:hAnsi="Verdana"/>
                <w:sz w:val="18"/>
                <w:szCs w:val="18"/>
              </w:rPr>
              <w:t>and</w:t>
            </w:r>
            <w:proofErr w:type="spellEnd"/>
            <w:r w:rsidRPr="00A02619">
              <w:rPr>
                <w:rFonts w:ascii="Verdana" w:hAnsi="Verdana"/>
                <w:sz w:val="18"/>
                <w:szCs w:val="18"/>
              </w:rPr>
              <w:t xml:space="preserve"> </w:t>
            </w:r>
            <w:proofErr w:type="spellStart"/>
            <w:r w:rsidRPr="00A02619">
              <w:rPr>
                <w:rFonts w:ascii="Verdana" w:hAnsi="Verdana"/>
                <w:sz w:val="18"/>
                <w:szCs w:val="18"/>
              </w:rPr>
              <w:t>Manuscripts</w:t>
            </w:r>
            <w:proofErr w:type="spellEnd"/>
            <w:r w:rsidRPr="00A02619">
              <w:rPr>
                <w:rFonts w:ascii="Verdana" w:hAnsi="Verdana"/>
                <w:sz w:val="18"/>
                <w:szCs w:val="18"/>
              </w:rPr>
              <w:t xml:space="preserve"> </w:t>
            </w:r>
            <w:proofErr w:type="spellStart"/>
            <w:r w:rsidRPr="00A02619">
              <w:rPr>
                <w:rFonts w:ascii="Verdana" w:hAnsi="Verdana"/>
                <w:sz w:val="18"/>
                <w:szCs w:val="18"/>
              </w:rPr>
              <w:t>Section</w:t>
            </w:r>
            <w:proofErr w:type="spellEnd"/>
            <w:r w:rsidRPr="00A02619">
              <w:rPr>
                <w:rFonts w:ascii="Verdana" w:hAnsi="Verdana"/>
                <w:sz w:val="18"/>
                <w:szCs w:val="18"/>
              </w:rPr>
              <w:t xml:space="preserve"> (RBMS), mit Sitz und Stimme im MARC Advisory </w:t>
            </w:r>
            <w:proofErr w:type="spellStart"/>
            <w:r w:rsidRPr="00A02619">
              <w:rPr>
                <w:rFonts w:ascii="Verdana" w:hAnsi="Verdana"/>
                <w:sz w:val="18"/>
                <w:szCs w:val="18"/>
              </w:rPr>
              <w:t>Committee</w:t>
            </w:r>
            <w:proofErr w:type="spellEnd"/>
            <w:r>
              <w:rPr>
                <w:rFonts w:ascii="Verdana" w:hAnsi="Verdana"/>
                <w:sz w:val="18"/>
                <w:szCs w:val="18"/>
              </w:rPr>
              <w:t xml:space="preserve">. Der umfangreiche Rücklauf wurde von der Gruppe bei der finalen Fassung des </w:t>
            </w:r>
            <w:proofErr w:type="spellStart"/>
            <w:r>
              <w:rPr>
                <w:rFonts w:ascii="Verdana" w:hAnsi="Verdana"/>
                <w:sz w:val="18"/>
                <w:szCs w:val="18"/>
              </w:rPr>
              <w:t>Proposals</w:t>
            </w:r>
            <w:proofErr w:type="spellEnd"/>
            <w:r>
              <w:rPr>
                <w:rFonts w:ascii="Verdana" w:hAnsi="Verdana"/>
                <w:sz w:val="18"/>
                <w:szCs w:val="18"/>
              </w:rPr>
              <w:t xml:space="preserve"> berücksichtigt.</w:t>
            </w:r>
            <w:r w:rsidR="00F26885">
              <w:rPr>
                <w:rFonts w:ascii="Verdana" w:hAnsi="Verdana"/>
                <w:sz w:val="18"/>
                <w:szCs w:val="18"/>
              </w:rPr>
              <w:t xml:space="preserve"> </w:t>
            </w:r>
          </w:p>
          <w:p w:rsidR="00F26885" w:rsidRDefault="00F26885" w:rsidP="00F26885">
            <w:pPr>
              <w:rPr>
                <w:rFonts w:ascii="Verdana" w:hAnsi="Verdana"/>
                <w:sz w:val="18"/>
                <w:szCs w:val="18"/>
              </w:rPr>
            </w:pPr>
            <w:r w:rsidRPr="00ED434C">
              <w:rPr>
                <w:rFonts w:ascii="Verdana" w:hAnsi="Verdana"/>
                <w:sz w:val="18"/>
                <w:szCs w:val="18"/>
              </w:rPr>
              <w:t xml:space="preserve">Die Zusammenarbeit </w:t>
            </w:r>
            <w:r>
              <w:rPr>
                <w:rFonts w:ascii="Verdana" w:hAnsi="Verdana"/>
                <w:sz w:val="18"/>
                <w:szCs w:val="18"/>
              </w:rPr>
              <w:t xml:space="preserve">der Gruppe </w:t>
            </w:r>
            <w:r w:rsidRPr="00ED434C">
              <w:rPr>
                <w:rFonts w:ascii="Verdana" w:hAnsi="Verdana"/>
                <w:sz w:val="18"/>
                <w:szCs w:val="18"/>
              </w:rPr>
              <w:t xml:space="preserve">mit Reinhold Heuvelmann (Arbeitsstelle Datenformate der Deutschen Nationalbibliothek) hat sich </w:t>
            </w:r>
            <w:r>
              <w:rPr>
                <w:rFonts w:ascii="Verdana" w:hAnsi="Verdana"/>
                <w:sz w:val="18"/>
                <w:szCs w:val="18"/>
              </w:rPr>
              <w:t xml:space="preserve">erneut </w:t>
            </w:r>
            <w:r w:rsidRPr="00ED434C">
              <w:rPr>
                <w:rFonts w:ascii="Verdana" w:hAnsi="Verdana"/>
                <w:sz w:val="18"/>
                <w:szCs w:val="18"/>
              </w:rPr>
              <w:t xml:space="preserve">als außerordentlich fruchtbar erwiesen. </w:t>
            </w:r>
          </w:p>
          <w:p w:rsidR="00A02619" w:rsidRDefault="00A02619" w:rsidP="00893BD7">
            <w:pPr>
              <w:rPr>
                <w:rFonts w:ascii="Verdana" w:hAnsi="Verdana"/>
                <w:sz w:val="18"/>
                <w:szCs w:val="18"/>
              </w:rPr>
            </w:pPr>
          </w:p>
          <w:p w:rsidR="006732CB" w:rsidRDefault="006732CB" w:rsidP="00893BD7">
            <w:pPr>
              <w:rPr>
                <w:rFonts w:ascii="Verdana" w:hAnsi="Verdana"/>
                <w:sz w:val="18"/>
                <w:szCs w:val="18"/>
              </w:rPr>
            </w:pPr>
            <w:r w:rsidRPr="009B187A">
              <w:rPr>
                <w:rFonts w:ascii="Verdana" w:hAnsi="Verdana"/>
                <w:sz w:val="18"/>
                <w:szCs w:val="18"/>
              </w:rPr>
              <w:t xml:space="preserve">Das </w:t>
            </w:r>
            <w:proofErr w:type="spellStart"/>
            <w:r w:rsidRPr="009B187A">
              <w:rPr>
                <w:rFonts w:ascii="Verdana" w:hAnsi="Verdana"/>
                <w:sz w:val="18"/>
                <w:szCs w:val="18"/>
              </w:rPr>
              <w:t>Proposal</w:t>
            </w:r>
            <w:proofErr w:type="spellEnd"/>
            <w:r w:rsidRPr="009B187A">
              <w:rPr>
                <w:rFonts w:ascii="Verdana" w:hAnsi="Verdana"/>
                <w:sz w:val="18"/>
                <w:szCs w:val="18"/>
              </w:rPr>
              <w:t xml:space="preserve"> mit dem endgültigen Titel </w:t>
            </w:r>
            <w:r w:rsidR="009B187A" w:rsidRPr="009B187A">
              <w:rPr>
                <w:rFonts w:ascii="Verdana" w:hAnsi="Verdana"/>
                <w:sz w:val="18"/>
                <w:szCs w:val="18"/>
              </w:rPr>
              <w:t>„</w:t>
            </w:r>
            <w:proofErr w:type="spellStart"/>
            <w:r w:rsidR="009B187A" w:rsidRPr="009B187A">
              <w:rPr>
                <w:rFonts w:ascii="Verdana" w:hAnsi="Verdana"/>
                <w:sz w:val="18"/>
                <w:szCs w:val="18"/>
              </w:rPr>
              <w:t>De</w:t>
            </w:r>
            <w:bookmarkStart w:id="0" w:name="_GoBack"/>
            <w:bookmarkEnd w:id="0"/>
            <w:r w:rsidR="009B187A" w:rsidRPr="009B187A">
              <w:rPr>
                <w:rFonts w:ascii="Verdana" w:hAnsi="Verdana"/>
                <w:sz w:val="18"/>
                <w:szCs w:val="18"/>
              </w:rPr>
              <w:t>fining</w:t>
            </w:r>
            <w:proofErr w:type="spellEnd"/>
            <w:r w:rsidR="009B187A" w:rsidRPr="009B187A">
              <w:rPr>
                <w:rFonts w:ascii="Verdana" w:hAnsi="Verdana"/>
                <w:sz w:val="18"/>
                <w:szCs w:val="18"/>
              </w:rPr>
              <w:t xml:space="preserve"> a Field </w:t>
            </w:r>
            <w:proofErr w:type="spellStart"/>
            <w:r w:rsidR="009B187A" w:rsidRPr="009B187A">
              <w:rPr>
                <w:rFonts w:ascii="Verdana" w:hAnsi="Verdana"/>
                <w:sz w:val="18"/>
                <w:szCs w:val="18"/>
              </w:rPr>
              <w:t>for</w:t>
            </w:r>
            <w:proofErr w:type="spellEnd"/>
            <w:r w:rsidR="009B187A" w:rsidRPr="009B187A">
              <w:rPr>
                <w:rFonts w:ascii="Verdana" w:hAnsi="Verdana"/>
                <w:sz w:val="18"/>
                <w:szCs w:val="18"/>
              </w:rPr>
              <w:t xml:space="preserve"> Ownership </w:t>
            </w:r>
            <w:proofErr w:type="spellStart"/>
            <w:r w:rsidR="009B187A" w:rsidRPr="009B187A">
              <w:rPr>
                <w:rFonts w:ascii="Verdana" w:hAnsi="Verdana"/>
                <w:sz w:val="18"/>
                <w:szCs w:val="18"/>
              </w:rPr>
              <w:t>and</w:t>
            </w:r>
            <w:proofErr w:type="spellEnd"/>
            <w:r w:rsidR="009B187A" w:rsidRPr="009B187A">
              <w:rPr>
                <w:rFonts w:ascii="Verdana" w:hAnsi="Verdana"/>
                <w:sz w:val="18"/>
                <w:szCs w:val="18"/>
              </w:rPr>
              <w:t xml:space="preserve"> </w:t>
            </w:r>
            <w:proofErr w:type="spellStart"/>
            <w:r w:rsidR="009B187A" w:rsidRPr="009B187A">
              <w:rPr>
                <w:rFonts w:ascii="Verdana" w:hAnsi="Verdana"/>
                <w:sz w:val="18"/>
                <w:szCs w:val="18"/>
              </w:rPr>
              <w:t>Custodial</w:t>
            </w:r>
            <w:proofErr w:type="spellEnd"/>
            <w:r w:rsidR="009B187A" w:rsidRPr="009B187A">
              <w:rPr>
                <w:rFonts w:ascii="Verdana" w:hAnsi="Verdana"/>
                <w:sz w:val="18"/>
                <w:szCs w:val="18"/>
              </w:rPr>
              <w:t xml:space="preserve"> </w:t>
            </w:r>
            <w:proofErr w:type="spellStart"/>
            <w:r w:rsidR="009B187A" w:rsidRPr="009B187A">
              <w:rPr>
                <w:rFonts w:ascii="Verdana" w:hAnsi="Verdana"/>
                <w:sz w:val="18"/>
                <w:szCs w:val="18"/>
              </w:rPr>
              <w:t>History</w:t>
            </w:r>
            <w:proofErr w:type="spellEnd"/>
            <w:r w:rsidR="009B187A" w:rsidRPr="009B187A">
              <w:rPr>
                <w:rFonts w:ascii="Verdana" w:hAnsi="Verdana"/>
                <w:sz w:val="18"/>
                <w:szCs w:val="18"/>
              </w:rPr>
              <w:t xml:space="preserve"> in Structured Form in </w:t>
            </w:r>
            <w:proofErr w:type="spellStart"/>
            <w:r w:rsidR="009B187A" w:rsidRPr="009B187A">
              <w:rPr>
                <w:rFonts w:ascii="Verdana" w:hAnsi="Verdana"/>
                <w:sz w:val="18"/>
                <w:szCs w:val="18"/>
              </w:rPr>
              <w:t>the</w:t>
            </w:r>
            <w:proofErr w:type="spellEnd"/>
            <w:r w:rsidR="009B187A" w:rsidRPr="009B187A">
              <w:rPr>
                <w:rFonts w:ascii="Verdana" w:hAnsi="Verdana"/>
                <w:sz w:val="18"/>
                <w:szCs w:val="18"/>
              </w:rPr>
              <w:t xml:space="preserve"> MARC 21 Formats</w:t>
            </w:r>
            <w:r w:rsidR="009B187A">
              <w:rPr>
                <w:rFonts w:ascii="Verdana" w:hAnsi="Verdana"/>
                <w:sz w:val="18"/>
                <w:szCs w:val="18"/>
              </w:rPr>
              <w:t xml:space="preserve">“ </w:t>
            </w:r>
            <w:r>
              <w:rPr>
                <w:rFonts w:ascii="Verdana" w:hAnsi="Verdana"/>
                <w:sz w:val="18"/>
                <w:szCs w:val="18"/>
              </w:rPr>
              <w:t xml:space="preserve">wird </w:t>
            </w:r>
            <w:r w:rsidR="00ED434C" w:rsidRPr="00ED434C">
              <w:rPr>
                <w:rFonts w:ascii="Verdana" w:hAnsi="Verdana"/>
                <w:sz w:val="18"/>
                <w:szCs w:val="18"/>
              </w:rPr>
              <w:t xml:space="preserve">bei den Treffen des MARC Advisory </w:t>
            </w:r>
            <w:proofErr w:type="spellStart"/>
            <w:r w:rsidR="00ED434C" w:rsidRPr="00ED434C">
              <w:rPr>
                <w:rFonts w:ascii="Verdana" w:hAnsi="Verdana"/>
                <w:sz w:val="18"/>
                <w:szCs w:val="18"/>
              </w:rPr>
              <w:t>Committee</w:t>
            </w:r>
            <w:proofErr w:type="spellEnd"/>
            <w:r w:rsidR="00ED434C" w:rsidRPr="00ED434C">
              <w:rPr>
                <w:rFonts w:ascii="Verdana" w:hAnsi="Verdana"/>
                <w:sz w:val="18"/>
                <w:szCs w:val="18"/>
              </w:rPr>
              <w:t xml:space="preserve"> Ende J</w:t>
            </w:r>
            <w:r w:rsidR="00ED434C">
              <w:rPr>
                <w:rFonts w:ascii="Verdana" w:hAnsi="Verdana"/>
                <w:sz w:val="18"/>
                <w:szCs w:val="18"/>
              </w:rPr>
              <w:t>anuar/Anfang Februar</w:t>
            </w:r>
            <w:r w:rsidR="00ED434C" w:rsidRPr="00ED434C">
              <w:rPr>
                <w:rFonts w:ascii="Verdana" w:hAnsi="Verdana"/>
                <w:sz w:val="18"/>
                <w:szCs w:val="18"/>
              </w:rPr>
              <w:t xml:space="preserve"> 202</w:t>
            </w:r>
            <w:r w:rsidR="00ED434C">
              <w:rPr>
                <w:rFonts w:ascii="Verdana" w:hAnsi="Verdana"/>
                <w:sz w:val="18"/>
                <w:szCs w:val="18"/>
              </w:rPr>
              <w:t>3</w:t>
            </w:r>
            <w:r>
              <w:rPr>
                <w:rFonts w:ascii="Verdana" w:hAnsi="Verdana"/>
                <w:sz w:val="18"/>
                <w:szCs w:val="18"/>
              </w:rPr>
              <w:t xml:space="preserve"> behandelt, die Gruppe zum AP 2 wird wie im Juni 2022 </w:t>
            </w:r>
            <w:r w:rsidR="009B187A">
              <w:rPr>
                <w:rFonts w:ascii="Verdana" w:hAnsi="Verdana"/>
                <w:sz w:val="18"/>
                <w:szCs w:val="18"/>
              </w:rPr>
              <w:t xml:space="preserve">auch an </w:t>
            </w:r>
            <w:r>
              <w:rPr>
                <w:rFonts w:ascii="Verdana" w:hAnsi="Verdana"/>
                <w:sz w:val="18"/>
                <w:szCs w:val="18"/>
              </w:rPr>
              <w:t>d</w:t>
            </w:r>
            <w:r w:rsidR="009B187A">
              <w:rPr>
                <w:rFonts w:ascii="Verdana" w:hAnsi="Verdana"/>
                <w:sz w:val="18"/>
                <w:szCs w:val="18"/>
              </w:rPr>
              <w:t>ies</w:t>
            </w:r>
            <w:r>
              <w:rPr>
                <w:rFonts w:ascii="Verdana" w:hAnsi="Verdana"/>
                <w:sz w:val="18"/>
                <w:szCs w:val="18"/>
              </w:rPr>
              <w:t xml:space="preserve">er Sitzung </w:t>
            </w:r>
            <w:r w:rsidR="009B187A">
              <w:rPr>
                <w:rFonts w:ascii="Verdana" w:hAnsi="Verdana"/>
                <w:sz w:val="18"/>
                <w:szCs w:val="18"/>
              </w:rPr>
              <w:t xml:space="preserve">geschlossen </w:t>
            </w:r>
            <w:r>
              <w:rPr>
                <w:rFonts w:ascii="Verdana" w:hAnsi="Verdana"/>
                <w:sz w:val="18"/>
                <w:szCs w:val="18"/>
              </w:rPr>
              <w:t>teilnehmen</w:t>
            </w:r>
            <w:r w:rsidR="00ED434C">
              <w:rPr>
                <w:rFonts w:ascii="Verdana" w:hAnsi="Verdana"/>
                <w:sz w:val="18"/>
                <w:szCs w:val="18"/>
              </w:rPr>
              <w:t>.</w:t>
            </w:r>
            <w:r w:rsidR="00ED434C" w:rsidRPr="00ED434C">
              <w:rPr>
                <w:rFonts w:ascii="Verdana" w:hAnsi="Verdana"/>
                <w:sz w:val="18"/>
                <w:szCs w:val="18"/>
              </w:rPr>
              <w:t xml:space="preserve"> </w:t>
            </w:r>
          </w:p>
          <w:p w:rsidR="00BC66F5" w:rsidRDefault="00BC66F5" w:rsidP="00893BD7">
            <w:pPr>
              <w:rPr>
                <w:rFonts w:ascii="Verdana" w:hAnsi="Verdana"/>
                <w:sz w:val="18"/>
                <w:szCs w:val="18"/>
              </w:rPr>
            </w:pPr>
          </w:p>
          <w:p w:rsidR="00893BD7" w:rsidRDefault="00893BD7" w:rsidP="00893BD7">
            <w:pPr>
              <w:rPr>
                <w:rFonts w:ascii="Verdana" w:hAnsi="Verdana"/>
                <w:sz w:val="18"/>
                <w:szCs w:val="18"/>
              </w:rPr>
            </w:pPr>
            <w:r w:rsidRPr="00893BD7">
              <w:rPr>
                <w:rFonts w:ascii="Verdana" w:hAnsi="Verdana"/>
                <w:sz w:val="18"/>
                <w:szCs w:val="18"/>
              </w:rPr>
              <w:t xml:space="preserve">Bei positiver Entscheidung wird das neue Feld </w:t>
            </w:r>
            <w:r w:rsidR="006732CB">
              <w:rPr>
                <w:rFonts w:ascii="Verdana" w:hAnsi="Verdana"/>
                <w:sz w:val="18"/>
                <w:szCs w:val="18"/>
              </w:rPr>
              <w:t xml:space="preserve">(561) </w:t>
            </w:r>
            <w:r w:rsidRPr="00893BD7">
              <w:rPr>
                <w:rFonts w:ascii="Verdana" w:hAnsi="Verdana"/>
                <w:sz w:val="18"/>
                <w:szCs w:val="18"/>
              </w:rPr>
              <w:t>im Mai 2023 im Update zur MARC-Dokumentation veröffentlicht und kann dann ab dem Sommer 2023 implementiert werden.</w:t>
            </w:r>
          </w:p>
          <w:p w:rsidR="00A02619" w:rsidRDefault="00A02619" w:rsidP="00893BD7">
            <w:pPr>
              <w:rPr>
                <w:rFonts w:ascii="Verdana" w:hAnsi="Verdana"/>
                <w:sz w:val="18"/>
                <w:szCs w:val="18"/>
              </w:rPr>
            </w:pPr>
          </w:p>
          <w:p w:rsidR="00A02619" w:rsidRDefault="002F36C2" w:rsidP="00893BD7">
            <w:pPr>
              <w:rPr>
                <w:rFonts w:ascii="Verdana" w:hAnsi="Verdana"/>
                <w:sz w:val="18"/>
                <w:szCs w:val="18"/>
              </w:rPr>
            </w:pPr>
            <w:r>
              <w:rPr>
                <w:rFonts w:ascii="Verdana" w:hAnsi="Verdana"/>
                <w:sz w:val="18"/>
                <w:szCs w:val="18"/>
              </w:rPr>
              <w:t xml:space="preserve">Siehe auch: </w:t>
            </w:r>
          </w:p>
          <w:p w:rsidR="002F36C2" w:rsidRDefault="0020697A" w:rsidP="00A02619">
            <w:pPr>
              <w:pStyle w:val="Listenabsatz"/>
              <w:numPr>
                <w:ilvl w:val="0"/>
                <w:numId w:val="4"/>
              </w:numPr>
              <w:rPr>
                <w:rFonts w:ascii="Verdana" w:hAnsi="Verdana"/>
                <w:sz w:val="18"/>
                <w:szCs w:val="18"/>
              </w:rPr>
            </w:pPr>
            <w:hyperlink r:id="rId7" w:history="1">
              <w:r w:rsidR="002F36C2" w:rsidRPr="00A02619">
                <w:rPr>
                  <w:rStyle w:val="Hyperlink"/>
                  <w:rFonts w:ascii="Verdana" w:hAnsi="Verdana"/>
                  <w:sz w:val="18"/>
                  <w:szCs w:val="18"/>
                </w:rPr>
                <w:t xml:space="preserve">Bericht zu den Treffen des MARC Advisory </w:t>
              </w:r>
              <w:proofErr w:type="spellStart"/>
              <w:r w:rsidR="002F36C2" w:rsidRPr="00A02619">
                <w:rPr>
                  <w:rStyle w:val="Hyperlink"/>
                  <w:rFonts w:ascii="Verdana" w:hAnsi="Verdana"/>
                  <w:sz w:val="18"/>
                  <w:szCs w:val="18"/>
                </w:rPr>
                <w:t>Committee</w:t>
              </w:r>
              <w:proofErr w:type="spellEnd"/>
              <w:r w:rsidR="002F36C2" w:rsidRPr="00A02619">
                <w:rPr>
                  <w:rStyle w:val="Hyperlink"/>
                  <w:rFonts w:ascii="Verdana" w:hAnsi="Verdana"/>
                  <w:sz w:val="18"/>
                  <w:szCs w:val="18"/>
                </w:rPr>
                <w:t xml:space="preserve"> (9.8.2022)</w:t>
              </w:r>
            </w:hyperlink>
          </w:p>
          <w:p w:rsidR="00A02619" w:rsidRPr="00A02619" w:rsidRDefault="0020697A" w:rsidP="00A02619">
            <w:pPr>
              <w:pStyle w:val="Listenabsatz"/>
              <w:numPr>
                <w:ilvl w:val="0"/>
                <w:numId w:val="4"/>
              </w:numPr>
              <w:rPr>
                <w:rFonts w:ascii="Verdana" w:hAnsi="Verdana"/>
                <w:sz w:val="18"/>
                <w:szCs w:val="18"/>
              </w:rPr>
            </w:pPr>
            <w:hyperlink r:id="rId8" w:history="1">
              <w:r w:rsidR="00A02619" w:rsidRPr="00A02619">
                <w:rPr>
                  <w:rStyle w:val="Hyperlink"/>
                  <w:rFonts w:ascii="Verdana" w:hAnsi="Verdana"/>
                  <w:sz w:val="18"/>
                  <w:szCs w:val="18"/>
                </w:rPr>
                <w:t xml:space="preserve">Eingereichte Fassung des </w:t>
              </w:r>
              <w:proofErr w:type="spellStart"/>
              <w:r w:rsidR="00A02619" w:rsidRPr="00A02619">
                <w:rPr>
                  <w:rStyle w:val="Hyperlink"/>
                  <w:rFonts w:ascii="Verdana" w:hAnsi="Verdana"/>
                  <w:sz w:val="18"/>
                  <w:szCs w:val="18"/>
                </w:rPr>
                <w:t>Proposals</w:t>
              </w:r>
              <w:proofErr w:type="spellEnd"/>
              <w:r w:rsidR="00A02619" w:rsidRPr="00A02619">
                <w:rPr>
                  <w:rStyle w:val="Hyperlink"/>
                  <w:rFonts w:ascii="Verdana" w:hAnsi="Verdana"/>
                  <w:sz w:val="18"/>
                  <w:szCs w:val="18"/>
                </w:rPr>
                <w:t xml:space="preserve"> (8.11.2022)</w:t>
              </w:r>
            </w:hyperlink>
          </w:p>
          <w:p w:rsidR="00C02247" w:rsidRPr="00893BD7" w:rsidRDefault="00C02247" w:rsidP="00C02247">
            <w:pPr>
              <w:rPr>
                <w:rFonts w:ascii="Verdana" w:hAnsi="Verdana"/>
                <w:sz w:val="18"/>
                <w:szCs w:val="18"/>
              </w:rPr>
            </w:pPr>
          </w:p>
          <w:p w:rsidR="00F26885" w:rsidRDefault="00F26885" w:rsidP="00C02247">
            <w:pPr>
              <w:rPr>
                <w:rFonts w:ascii="Verdana" w:hAnsi="Verdana"/>
                <w:b/>
                <w:sz w:val="18"/>
                <w:szCs w:val="18"/>
                <w:lang w:val="de-CH"/>
              </w:rPr>
            </w:pPr>
          </w:p>
          <w:p w:rsidR="00C02247" w:rsidRPr="00C02247" w:rsidRDefault="00C02247" w:rsidP="00C02247">
            <w:pPr>
              <w:rPr>
                <w:rFonts w:ascii="Verdana" w:hAnsi="Verdana"/>
                <w:b/>
                <w:sz w:val="18"/>
                <w:szCs w:val="18"/>
                <w:lang w:val="de-CH"/>
              </w:rPr>
            </w:pPr>
            <w:r w:rsidRPr="00C02247">
              <w:rPr>
                <w:rFonts w:ascii="Verdana" w:hAnsi="Verdana"/>
                <w:b/>
                <w:sz w:val="18"/>
                <w:szCs w:val="18"/>
                <w:lang w:val="de-CH"/>
              </w:rPr>
              <w:t>AP3: Sammlungssätze in der GND</w:t>
            </w:r>
          </w:p>
          <w:p w:rsidR="006732CB" w:rsidRDefault="006732CB" w:rsidP="00C02247">
            <w:pPr>
              <w:rPr>
                <w:rFonts w:ascii="Verdana" w:hAnsi="Verdana"/>
                <w:sz w:val="18"/>
                <w:szCs w:val="18"/>
                <w:lang w:val="de-CH"/>
              </w:rPr>
            </w:pPr>
          </w:p>
          <w:p w:rsidR="00A02619" w:rsidRDefault="00C02247" w:rsidP="00C02247">
            <w:pPr>
              <w:rPr>
                <w:rFonts w:ascii="Verdana" w:hAnsi="Verdana"/>
                <w:sz w:val="18"/>
                <w:szCs w:val="18"/>
                <w:lang w:val="de-CH"/>
              </w:rPr>
            </w:pPr>
            <w:r w:rsidRPr="00C02247">
              <w:rPr>
                <w:rFonts w:ascii="Verdana" w:hAnsi="Verdana"/>
                <w:sz w:val="18"/>
                <w:szCs w:val="18"/>
                <w:lang w:val="de-CH"/>
              </w:rPr>
              <w:t xml:space="preserve">Die 2020 veröffentlichten </w:t>
            </w:r>
            <w:hyperlink r:id="rId9" w:history="1">
              <w:r w:rsidRPr="00C02247">
                <w:rPr>
                  <w:rStyle w:val="Hyperlink"/>
                  <w:rFonts w:ascii="Verdana" w:hAnsi="Verdana"/>
                  <w:sz w:val="18"/>
                  <w:szCs w:val="18"/>
                  <w:lang w:val="de-CH"/>
                </w:rPr>
                <w:t xml:space="preserve">Empfehlungen der </w:t>
              </w:r>
              <w:proofErr w:type="spellStart"/>
              <w:r w:rsidRPr="00C02247">
                <w:rPr>
                  <w:rStyle w:val="Hyperlink"/>
                  <w:rFonts w:ascii="Verdana" w:hAnsi="Verdana"/>
                  <w:sz w:val="18"/>
                  <w:szCs w:val="18"/>
                  <w:lang w:val="de-CH"/>
                </w:rPr>
                <w:t>dbv</w:t>
              </w:r>
              <w:proofErr w:type="spellEnd"/>
              <w:r w:rsidRPr="00C02247">
                <w:rPr>
                  <w:rStyle w:val="Hyperlink"/>
                  <w:rFonts w:ascii="Verdana" w:hAnsi="Verdana"/>
                  <w:sz w:val="18"/>
                  <w:szCs w:val="18"/>
                  <w:lang w:val="de-CH"/>
                </w:rPr>
                <w:t xml:space="preserve">-Kommission zu Sammlungen in der </w:t>
              </w:r>
              <w:proofErr w:type="spellStart"/>
              <w:r w:rsidRPr="00C02247">
                <w:rPr>
                  <w:rStyle w:val="Hyperlink"/>
                  <w:rFonts w:ascii="Verdana" w:hAnsi="Verdana"/>
                  <w:sz w:val="18"/>
                  <w:szCs w:val="18"/>
                  <w:lang w:val="de-CH"/>
                </w:rPr>
                <w:t>Provenienzerschließung</w:t>
              </w:r>
              <w:proofErr w:type="spellEnd"/>
            </w:hyperlink>
            <w:r w:rsidRPr="00C02247">
              <w:rPr>
                <w:rFonts w:ascii="Verdana" w:hAnsi="Verdana"/>
                <w:sz w:val="18"/>
                <w:szCs w:val="18"/>
                <w:lang w:val="de-CH"/>
              </w:rPr>
              <w:t xml:space="preserve"> (in Abstimmung mit der </w:t>
            </w:r>
            <w:proofErr w:type="spellStart"/>
            <w:r w:rsidRPr="00C02247">
              <w:rPr>
                <w:rFonts w:ascii="Verdana" w:hAnsi="Verdana"/>
                <w:sz w:val="18"/>
                <w:szCs w:val="18"/>
                <w:lang w:val="de-CH"/>
              </w:rPr>
              <w:t>AfS</w:t>
            </w:r>
            <w:proofErr w:type="spellEnd"/>
            <w:r w:rsidRPr="00C02247">
              <w:rPr>
                <w:rFonts w:ascii="Verdana" w:hAnsi="Verdana"/>
                <w:sz w:val="18"/>
                <w:szCs w:val="18"/>
                <w:lang w:val="de-CH"/>
              </w:rPr>
              <w:t>) stoßen in der Community auf große Beachtung. Dadurch hat sich die Erfassung von Werksätzen (Tu-Sätzen) für Sammlungen als äußerst adäquates Erschließungsmodell etabliert.</w:t>
            </w:r>
            <w:r w:rsidR="006732CB">
              <w:rPr>
                <w:rFonts w:ascii="Verdana" w:hAnsi="Verdana"/>
                <w:sz w:val="18"/>
                <w:szCs w:val="18"/>
                <w:lang w:val="de-CH"/>
              </w:rPr>
              <w:t xml:space="preserve"> </w:t>
            </w:r>
          </w:p>
          <w:p w:rsidR="00A02619" w:rsidRDefault="00A02619" w:rsidP="00C02247">
            <w:pPr>
              <w:rPr>
                <w:rFonts w:ascii="Verdana" w:hAnsi="Verdana"/>
                <w:sz w:val="18"/>
                <w:szCs w:val="18"/>
                <w:lang w:val="de-CH"/>
              </w:rPr>
            </w:pPr>
          </w:p>
          <w:p w:rsidR="006732CB" w:rsidRDefault="006732CB" w:rsidP="00C02247">
            <w:pPr>
              <w:rPr>
                <w:rFonts w:ascii="Verdana" w:hAnsi="Verdana"/>
                <w:sz w:val="18"/>
                <w:szCs w:val="18"/>
                <w:lang w:val="de-CH"/>
              </w:rPr>
            </w:pPr>
            <w:r w:rsidRPr="006732CB">
              <w:rPr>
                <w:rFonts w:ascii="Verdana" w:hAnsi="Verdana"/>
                <w:sz w:val="18"/>
                <w:szCs w:val="18"/>
                <w:lang w:val="de-CH"/>
              </w:rPr>
              <w:t xml:space="preserve">Die Veröffentlichung der neuen Erfassungshilfe </w:t>
            </w:r>
            <w:hyperlink r:id="rId10" w:history="1">
              <w:r w:rsidRPr="006732CB">
                <w:rPr>
                  <w:rStyle w:val="Hyperlink"/>
                  <w:rFonts w:ascii="Verdana" w:hAnsi="Verdana"/>
                  <w:sz w:val="18"/>
                  <w:szCs w:val="18"/>
                  <w:lang w:val="de-CH"/>
                </w:rPr>
                <w:t>EH-W-11</w:t>
              </w:r>
            </w:hyperlink>
            <w:r w:rsidRPr="006732CB">
              <w:rPr>
                <w:rFonts w:ascii="Verdana" w:hAnsi="Verdana"/>
                <w:sz w:val="18"/>
                <w:szCs w:val="18"/>
                <w:lang w:val="de-CH"/>
              </w:rPr>
              <w:t xml:space="preserve"> (02.02.2022), die eine Erfassung und Verwendung von Sammlungssätzen in der Formal- und Sacherschließung nicht mehr vorsieht, hat in der </w:t>
            </w:r>
            <w:proofErr w:type="spellStart"/>
            <w:r w:rsidRPr="006732CB">
              <w:rPr>
                <w:rFonts w:ascii="Verdana" w:hAnsi="Verdana"/>
                <w:sz w:val="18"/>
                <w:szCs w:val="18"/>
                <w:lang w:val="de-CH"/>
              </w:rPr>
              <w:t>Provenienzerschließung</w:t>
            </w:r>
            <w:proofErr w:type="spellEnd"/>
            <w:r w:rsidRPr="006732CB">
              <w:rPr>
                <w:rFonts w:ascii="Verdana" w:hAnsi="Verdana"/>
                <w:sz w:val="18"/>
                <w:szCs w:val="18"/>
                <w:lang w:val="de-CH"/>
              </w:rPr>
              <w:t xml:space="preserve"> zu grundsätzlichem Gesprächsbedarf geführt.</w:t>
            </w:r>
          </w:p>
          <w:p w:rsidR="006732CB" w:rsidRDefault="006732CB" w:rsidP="00C02247">
            <w:pPr>
              <w:rPr>
                <w:rFonts w:ascii="Verdana" w:hAnsi="Verdana"/>
                <w:sz w:val="18"/>
                <w:szCs w:val="18"/>
                <w:lang w:val="de-CH"/>
              </w:rPr>
            </w:pPr>
          </w:p>
          <w:p w:rsidR="002F36C2" w:rsidRPr="002F36C2" w:rsidRDefault="002F36C2" w:rsidP="002F36C2">
            <w:pPr>
              <w:rPr>
                <w:rFonts w:ascii="Verdana" w:hAnsi="Verdana"/>
                <w:sz w:val="18"/>
                <w:szCs w:val="18"/>
              </w:rPr>
            </w:pPr>
            <w:r>
              <w:rPr>
                <w:rFonts w:ascii="Verdana" w:hAnsi="Verdana"/>
                <w:sz w:val="18"/>
                <w:szCs w:val="18"/>
              </w:rPr>
              <w:t>Im Berichtszeitraum fand eine</w:t>
            </w:r>
            <w:r w:rsidRPr="002F36C2">
              <w:rPr>
                <w:rFonts w:ascii="Verdana" w:hAnsi="Verdana"/>
                <w:sz w:val="18"/>
                <w:szCs w:val="18"/>
              </w:rPr>
              <w:t xml:space="preserve"> Abstimmung mit </w:t>
            </w:r>
            <w:r>
              <w:rPr>
                <w:rFonts w:ascii="Verdana" w:hAnsi="Verdana"/>
                <w:sz w:val="18"/>
                <w:szCs w:val="18"/>
              </w:rPr>
              <w:t xml:space="preserve">der </w:t>
            </w:r>
            <w:r w:rsidRPr="002F36C2">
              <w:rPr>
                <w:rFonts w:ascii="Verdana" w:hAnsi="Verdana"/>
                <w:sz w:val="18"/>
                <w:szCs w:val="18"/>
              </w:rPr>
              <w:t>F</w:t>
            </w:r>
            <w:r>
              <w:rPr>
                <w:rFonts w:ascii="Verdana" w:hAnsi="Verdana"/>
                <w:sz w:val="18"/>
                <w:szCs w:val="18"/>
              </w:rPr>
              <w:t>achgruppe Erschließung</w:t>
            </w:r>
            <w:r w:rsidRPr="002F36C2">
              <w:rPr>
                <w:rFonts w:ascii="Verdana" w:hAnsi="Verdana"/>
                <w:sz w:val="18"/>
                <w:szCs w:val="18"/>
              </w:rPr>
              <w:t xml:space="preserve"> (Esther </w:t>
            </w:r>
            <w:proofErr w:type="spellStart"/>
            <w:r w:rsidRPr="002F36C2">
              <w:rPr>
                <w:rFonts w:ascii="Verdana" w:hAnsi="Verdana"/>
                <w:sz w:val="18"/>
                <w:szCs w:val="18"/>
              </w:rPr>
              <w:t>Scheve</w:t>
            </w:r>
            <w:r>
              <w:rPr>
                <w:rFonts w:ascii="Verdana" w:hAnsi="Verdana"/>
                <w:sz w:val="18"/>
                <w:szCs w:val="18"/>
              </w:rPr>
              <w:t>n</w:t>
            </w:r>
            <w:proofErr w:type="spellEnd"/>
            <w:r>
              <w:rPr>
                <w:rFonts w:ascii="Verdana" w:hAnsi="Verdana"/>
                <w:sz w:val="18"/>
                <w:szCs w:val="18"/>
              </w:rPr>
              <w:t xml:space="preserve">, Mathias </w:t>
            </w:r>
            <w:proofErr w:type="spellStart"/>
            <w:r>
              <w:rPr>
                <w:rFonts w:ascii="Verdana" w:hAnsi="Verdana"/>
                <w:sz w:val="18"/>
                <w:szCs w:val="18"/>
              </w:rPr>
              <w:t>Manecke</w:t>
            </w:r>
            <w:proofErr w:type="spellEnd"/>
            <w:r>
              <w:rPr>
                <w:rFonts w:ascii="Verdana" w:hAnsi="Verdana"/>
                <w:sz w:val="18"/>
                <w:szCs w:val="18"/>
              </w:rPr>
              <w:t>) zur EH-W-11 statt.</w:t>
            </w:r>
            <w:r w:rsidRPr="002F36C2">
              <w:rPr>
                <w:rFonts w:ascii="Verdana" w:hAnsi="Verdana"/>
                <w:sz w:val="18"/>
                <w:szCs w:val="18"/>
              </w:rPr>
              <w:t xml:space="preserve"> </w:t>
            </w:r>
            <w:r>
              <w:rPr>
                <w:rFonts w:ascii="Verdana" w:hAnsi="Verdana"/>
                <w:sz w:val="18"/>
                <w:szCs w:val="18"/>
              </w:rPr>
              <w:t>D</w:t>
            </w:r>
            <w:r w:rsidRPr="002F36C2">
              <w:rPr>
                <w:rFonts w:ascii="Verdana" w:hAnsi="Verdana"/>
                <w:sz w:val="18"/>
                <w:szCs w:val="18"/>
              </w:rPr>
              <w:t xml:space="preserve">ie meisten Punkte konnten befriedigend geklärt werden, Mathias </w:t>
            </w:r>
            <w:proofErr w:type="spellStart"/>
            <w:r w:rsidRPr="002F36C2">
              <w:rPr>
                <w:rFonts w:ascii="Verdana" w:hAnsi="Verdana"/>
                <w:sz w:val="18"/>
                <w:szCs w:val="18"/>
              </w:rPr>
              <w:t>Manecke</w:t>
            </w:r>
            <w:proofErr w:type="spellEnd"/>
            <w:r w:rsidRPr="002F36C2">
              <w:rPr>
                <w:rFonts w:ascii="Verdana" w:hAnsi="Verdana"/>
                <w:sz w:val="18"/>
                <w:szCs w:val="18"/>
              </w:rPr>
              <w:t xml:space="preserve"> steht bei künftigem Abstimmungsbedarf zur Verfügung</w:t>
            </w:r>
            <w:r>
              <w:rPr>
                <w:rFonts w:ascii="Verdana" w:hAnsi="Verdana"/>
                <w:sz w:val="18"/>
                <w:szCs w:val="18"/>
              </w:rPr>
              <w:t>.</w:t>
            </w:r>
          </w:p>
          <w:p w:rsidR="00C02247" w:rsidRPr="00C02247" w:rsidRDefault="002F36C2" w:rsidP="002F36C2">
            <w:pPr>
              <w:rPr>
                <w:rFonts w:ascii="Verdana" w:hAnsi="Verdana"/>
                <w:sz w:val="18"/>
                <w:szCs w:val="18"/>
                <w:lang w:val="de-CH"/>
              </w:rPr>
            </w:pPr>
            <w:r w:rsidRPr="002F36C2">
              <w:rPr>
                <w:rFonts w:ascii="Verdana" w:hAnsi="Verdana"/>
                <w:sz w:val="18"/>
                <w:szCs w:val="18"/>
              </w:rPr>
              <w:t>Bis auf weiteres werden Normdaten für Sammlung</w:t>
            </w:r>
            <w:r>
              <w:rPr>
                <w:rFonts w:ascii="Verdana" w:hAnsi="Verdana"/>
                <w:sz w:val="18"/>
                <w:szCs w:val="18"/>
              </w:rPr>
              <w:t>en</w:t>
            </w:r>
            <w:r w:rsidRPr="002F36C2">
              <w:rPr>
                <w:rFonts w:ascii="Verdana" w:hAnsi="Verdana"/>
                <w:sz w:val="18"/>
                <w:szCs w:val="18"/>
              </w:rPr>
              <w:t xml:space="preserve"> nur in der </w:t>
            </w:r>
            <w:proofErr w:type="spellStart"/>
            <w:r w:rsidRPr="002F36C2">
              <w:rPr>
                <w:rFonts w:ascii="Verdana" w:hAnsi="Verdana"/>
                <w:sz w:val="18"/>
                <w:szCs w:val="18"/>
              </w:rPr>
              <w:t>Provenienzerschließung</w:t>
            </w:r>
            <w:proofErr w:type="spellEnd"/>
            <w:r w:rsidRPr="002F36C2">
              <w:rPr>
                <w:rFonts w:ascii="Verdana" w:hAnsi="Verdana"/>
                <w:sz w:val="18"/>
                <w:szCs w:val="18"/>
              </w:rPr>
              <w:t xml:space="preserve"> genutzt</w:t>
            </w:r>
            <w:r>
              <w:rPr>
                <w:rFonts w:ascii="Verdana" w:hAnsi="Verdana"/>
                <w:sz w:val="18"/>
                <w:szCs w:val="18"/>
              </w:rPr>
              <w:t>.</w:t>
            </w:r>
            <w:r w:rsidRPr="00C02247">
              <w:rPr>
                <w:rFonts w:ascii="Verdana" w:hAnsi="Verdana"/>
                <w:sz w:val="18"/>
                <w:szCs w:val="18"/>
                <w:lang w:val="de-CH"/>
              </w:rPr>
              <w:t xml:space="preserve"> </w:t>
            </w:r>
            <w:r w:rsidR="00C02247" w:rsidRPr="00C02247">
              <w:rPr>
                <w:rFonts w:ascii="Verdana" w:hAnsi="Verdana"/>
                <w:sz w:val="18"/>
                <w:szCs w:val="18"/>
                <w:lang w:val="de-CH"/>
              </w:rPr>
              <w:br/>
            </w:r>
          </w:p>
          <w:p w:rsidR="0010395B" w:rsidRDefault="0010395B" w:rsidP="0010395B">
            <w:pPr>
              <w:rPr>
                <w:rFonts w:ascii="Verdana" w:hAnsi="Verdana"/>
                <w:sz w:val="18"/>
                <w:szCs w:val="18"/>
                <w:lang w:val="de-CH"/>
              </w:rPr>
            </w:pPr>
            <w:r>
              <w:rPr>
                <w:rFonts w:ascii="Verdana" w:hAnsi="Verdana"/>
                <w:sz w:val="18"/>
                <w:szCs w:val="18"/>
                <w:lang w:val="de-CH"/>
              </w:rPr>
              <w:t>Laufend:</w:t>
            </w:r>
          </w:p>
          <w:p w:rsidR="00C02247" w:rsidRDefault="00C02247" w:rsidP="0010395B">
            <w:pPr>
              <w:pStyle w:val="Listenabsatz"/>
              <w:numPr>
                <w:ilvl w:val="0"/>
                <w:numId w:val="3"/>
              </w:numPr>
              <w:rPr>
                <w:rFonts w:ascii="Verdana" w:hAnsi="Verdana"/>
                <w:sz w:val="18"/>
                <w:szCs w:val="18"/>
                <w:lang w:val="de-CH"/>
              </w:rPr>
            </w:pPr>
            <w:r w:rsidRPr="0010395B">
              <w:rPr>
                <w:rFonts w:ascii="Verdana" w:hAnsi="Verdana"/>
                <w:sz w:val="18"/>
                <w:szCs w:val="18"/>
                <w:lang w:val="de-CH"/>
              </w:rPr>
              <w:t>Erweiterung der Beispielsammlung zu</w:t>
            </w:r>
            <w:r w:rsidR="0010395B">
              <w:rPr>
                <w:rFonts w:ascii="Verdana" w:hAnsi="Verdana"/>
                <w:sz w:val="18"/>
                <w:szCs w:val="18"/>
                <w:lang w:val="de-CH"/>
              </w:rPr>
              <w:t>r Sammlungserschließung</w:t>
            </w:r>
          </w:p>
          <w:p w:rsidR="00C02247" w:rsidRDefault="00C02247" w:rsidP="00C02247">
            <w:pPr>
              <w:rPr>
                <w:rFonts w:ascii="Verdana" w:hAnsi="Verdana"/>
                <w:sz w:val="18"/>
                <w:szCs w:val="18"/>
                <w:lang w:val="de-CH"/>
              </w:rPr>
            </w:pPr>
          </w:p>
          <w:p w:rsidR="00BC66F5" w:rsidRDefault="00BC66F5" w:rsidP="00C02247">
            <w:pPr>
              <w:rPr>
                <w:rFonts w:ascii="Verdana" w:hAnsi="Verdana"/>
                <w:sz w:val="18"/>
                <w:szCs w:val="18"/>
                <w:lang w:val="de-CH"/>
              </w:rPr>
            </w:pPr>
          </w:p>
          <w:p w:rsidR="00BC66F5" w:rsidRPr="00C02247" w:rsidRDefault="00BC66F5" w:rsidP="00C02247">
            <w:pPr>
              <w:rPr>
                <w:rFonts w:ascii="Verdana" w:hAnsi="Verdana"/>
                <w:sz w:val="18"/>
                <w:szCs w:val="18"/>
                <w:lang w:val="de-CH"/>
              </w:rPr>
            </w:pPr>
          </w:p>
          <w:p w:rsidR="00C02247" w:rsidRPr="00C02247" w:rsidRDefault="00C02247" w:rsidP="00C02247">
            <w:pPr>
              <w:rPr>
                <w:rFonts w:ascii="Verdana" w:hAnsi="Verdana"/>
                <w:b/>
                <w:sz w:val="18"/>
                <w:szCs w:val="18"/>
                <w:lang w:val="de-CH"/>
              </w:rPr>
            </w:pPr>
            <w:r w:rsidRPr="00C02247">
              <w:rPr>
                <w:rFonts w:ascii="Verdana" w:hAnsi="Verdana"/>
                <w:b/>
                <w:sz w:val="18"/>
                <w:szCs w:val="18"/>
                <w:lang w:val="de-CH"/>
              </w:rPr>
              <w:t xml:space="preserve">AP4: Thesaurus </w:t>
            </w:r>
            <w:r>
              <w:rPr>
                <w:rFonts w:ascii="Verdana" w:hAnsi="Verdana"/>
                <w:b/>
                <w:sz w:val="18"/>
                <w:szCs w:val="18"/>
                <w:lang w:val="de-CH"/>
              </w:rPr>
              <w:t>der</w:t>
            </w:r>
            <w:r w:rsidRPr="00C02247">
              <w:rPr>
                <w:rFonts w:ascii="Verdana" w:hAnsi="Verdana"/>
                <w:b/>
                <w:sz w:val="18"/>
                <w:szCs w:val="18"/>
                <w:lang w:val="de-CH"/>
              </w:rPr>
              <w:t xml:space="preserve"> </w:t>
            </w:r>
            <w:proofErr w:type="spellStart"/>
            <w:r w:rsidRPr="00C02247">
              <w:rPr>
                <w:rFonts w:ascii="Verdana" w:hAnsi="Verdana"/>
                <w:b/>
                <w:sz w:val="18"/>
                <w:szCs w:val="18"/>
                <w:lang w:val="de-CH"/>
              </w:rPr>
              <w:t>Provenienzbegriffe</w:t>
            </w:r>
            <w:proofErr w:type="spellEnd"/>
            <w:r w:rsidRPr="00C02247">
              <w:rPr>
                <w:rFonts w:ascii="Verdana" w:hAnsi="Verdana"/>
                <w:b/>
                <w:sz w:val="18"/>
                <w:szCs w:val="18"/>
                <w:lang w:val="de-CH"/>
              </w:rPr>
              <w:t xml:space="preserve"> | T-PRO</w:t>
            </w:r>
          </w:p>
          <w:p w:rsidR="00F26885" w:rsidRDefault="00F26885" w:rsidP="00C02247">
            <w:pPr>
              <w:rPr>
                <w:rFonts w:ascii="Verdana" w:hAnsi="Verdana"/>
                <w:sz w:val="18"/>
                <w:szCs w:val="18"/>
                <w:lang w:val="de-CH"/>
              </w:rPr>
            </w:pPr>
          </w:p>
          <w:p w:rsidR="00C02247" w:rsidRPr="00C02247" w:rsidRDefault="00C02247" w:rsidP="00C02247">
            <w:pPr>
              <w:rPr>
                <w:rFonts w:ascii="Verdana" w:hAnsi="Verdana"/>
                <w:sz w:val="18"/>
                <w:szCs w:val="18"/>
                <w:lang w:val="de-CH"/>
              </w:rPr>
            </w:pPr>
            <w:r w:rsidRPr="00C02247">
              <w:rPr>
                <w:rFonts w:ascii="Verdana" w:hAnsi="Verdana"/>
                <w:sz w:val="18"/>
                <w:szCs w:val="18"/>
                <w:lang w:val="de-CH"/>
              </w:rPr>
              <w:t>Maßnahmen zur Weiterentwicklung des T-PRO:</w:t>
            </w:r>
          </w:p>
          <w:p w:rsidR="00432A6E" w:rsidRDefault="00893BD7" w:rsidP="00893BD7">
            <w:pPr>
              <w:rPr>
                <w:rFonts w:ascii="Verdana" w:hAnsi="Verdana"/>
                <w:sz w:val="18"/>
                <w:szCs w:val="18"/>
                <w:lang w:val="de-CH"/>
              </w:rPr>
            </w:pPr>
            <w:r>
              <w:rPr>
                <w:rFonts w:ascii="Verdana" w:hAnsi="Verdana"/>
                <w:sz w:val="18"/>
                <w:szCs w:val="18"/>
                <w:lang w:val="de-CH"/>
              </w:rPr>
              <w:t xml:space="preserve">Im Berichtszeitraum konnte die </w:t>
            </w:r>
            <w:r w:rsidR="00ED434C">
              <w:rPr>
                <w:rFonts w:ascii="Verdana" w:hAnsi="Verdana"/>
                <w:sz w:val="18"/>
                <w:szCs w:val="18"/>
                <w:lang w:val="de-CH"/>
              </w:rPr>
              <w:t>G</w:t>
            </w:r>
            <w:r>
              <w:rPr>
                <w:rFonts w:ascii="Verdana" w:hAnsi="Verdana"/>
                <w:sz w:val="18"/>
                <w:szCs w:val="18"/>
                <w:lang w:val="de-CH"/>
              </w:rPr>
              <w:t>ruppe</w:t>
            </w:r>
            <w:r w:rsidR="00ED434C">
              <w:rPr>
                <w:rFonts w:ascii="Verdana" w:hAnsi="Verdana"/>
                <w:sz w:val="18"/>
                <w:szCs w:val="18"/>
                <w:lang w:val="de-CH"/>
              </w:rPr>
              <w:t xml:space="preserve"> zum AP 4</w:t>
            </w:r>
            <w:r>
              <w:rPr>
                <w:rFonts w:ascii="Verdana" w:hAnsi="Verdana"/>
                <w:sz w:val="18"/>
                <w:szCs w:val="18"/>
                <w:lang w:val="de-CH"/>
              </w:rPr>
              <w:t xml:space="preserve"> in Zusammenarbeit mit der Projektgruppe </w:t>
            </w:r>
            <w:hyperlink r:id="rId11" w:history="1">
              <w:r w:rsidRPr="00A02619">
                <w:rPr>
                  <w:rStyle w:val="Hyperlink"/>
                  <w:rFonts w:ascii="Verdana" w:hAnsi="Verdana"/>
                  <w:sz w:val="18"/>
                  <w:szCs w:val="18"/>
                  <w:lang w:val="de-CH"/>
                </w:rPr>
                <w:t>GND-</w:t>
              </w:r>
              <w:proofErr w:type="spellStart"/>
              <w:r w:rsidRPr="00A02619">
                <w:rPr>
                  <w:rStyle w:val="Hyperlink"/>
                  <w:rFonts w:ascii="Verdana" w:hAnsi="Verdana"/>
                  <w:sz w:val="18"/>
                  <w:szCs w:val="18"/>
                  <w:lang w:val="de-CH"/>
                </w:rPr>
                <w:t>mul</w:t>
              </w:r>
              <w:proofErr w:type="spellEnd"/>
            </w:hyperlink>
            <w:r>
              <w:rPr>
                <w:rFonts w:ascii="Verdana" w:hAnsi="Verdana"/>
                <w:sz w:val="18"/>
                <w:szCs w:val="18"/>
                <w:lang w:val="de-CH"/>
              </w:rPr>
              <w:t xml:space="preserve"> die</w:t>
            </w:r>
            <w:r w:rsidR="00C02247" w:rsidRPr="00C02247">
              <w:rPr>
                <w:rFonts w:ascii="Verdana" w:hAnsi="Verdana"/>
                <w:sz w:val="18"/>
                <w:szCs w:val="18"/>
                <w:lang w:val="de-CH"/>
              </w:rPr>
              <w:t xml:space="preserve"> </w:t>
            </w:r>
            <w:proofErr w:type="spellStart"/>
            <w:r>
              <w:rPr>
                <w:rFonts w:ascii="Verdana" w:hAnsi="Verdana"/>
                <w:sz w:val="18"/>
                <w:szCs w:val="18"/>
                <w:lang w:val="de-CH"/>
              </w:rPr>
              <w:t>Crossk</w:t>
            </w:r>
            <w:r w:rsidR="00C02247" w:rsidRPr="00C02247">
              <w:rPr>
                <w:rFonts w:ascii="Verdana" w:hAnsi="Verdana"/>
                <w:sz w:val="18"/>
                <w:szCs w:val="18"/>
                <w:lang w:val="de-CH"/>
              </w:rPr>
              <w:t>onkordanz</w:t>
            </w:r>
            <w:proofErr w:type="spellEnd"/>
            <w:r w:rsidR="00C02247" w:rsidRPr="00C02247">
              <w:rPr>
                <w:rFonts w:ascii="Verdana" w:hAnsi="Verdana"/>
                <w:sz w:val="18"/>
                <w:szCs w:val="18"/>
                <w:lang w:val="de-CH"/>
              </w:rPr>
              <w:t xml:space="preserve"> GND – T-PRO </w:t>
            </w:r>
            <w:r w:rsidR="00432A6E">
              <w:rPr>
                <w:rFonts w:ascii="Verdana" w:hAnsi="Verdana"/>
                <w:sz w:val="18"/>
                <w:szCs w:val="18"/>
                <w:lang w:val="de-CH"/>
              </w:rPr>
              <w:t xml:space="preserve">mit entsprechenden </w:t>
            </w:r>
            <w:proofErr w:type="spellStart"/>
            <w:r w:rsidR="00432A6E">
              <w:rPr>
                <w:rFonts w:ascii="Verdana" w:hAnsi="Verdana"/>
                <w:sz w:val="18"/>
                <w:szCs w:val="18"/>
                <w:lang w:val="de-CH"/>
              </w:rPr>
              <w:t>Relationencodes</w:t>
            </w:r>
            <w:proofErr w:type="spellEnd"/>
            <w:r w:rsidR="00432A6E">
              <w:rPr>
                <w:rFonts w:ascii="Verdana" w:hAnsi="Verdana"/>
                <w:sz w:val="18"/>
                <w:szCs w:val="18"/>
                <w:lang w:val="de-CH"/>
              </w:rPr>
              <w:t xml:space="preserve"> </w:t>
            </w:r>
            <w:r>
              <w:rPr>
                <w:rFonts w:ascii="Verdana" w:hAnsi="Verdana"/>
                <w:sz w:val="18"/>
                <w:szCs w:val="18"/>
                <w:lang w:val="de-CH"/>
              </w:rPr>
              <w:t>fertigstellen</w:t>
            </w:r>
            <w:r w:rsidR="00432A6E">
              <w:rPr>
                <w:rFonts w:ascii="Verdana" w:hAnsi="Verdana"/>
                <w:sz w:val="18"/>
                <w:szCs w:val="18"/>
                <w:lang w:val="de-CH"/>
              </w:rPr>
              <w:t xml:space="preserve">. Derzeit werden über die Verbundzentrale Göttingen für die einzelnen Deskriptoren stabile URI via DANTE erstellt, die dann in die </w:t>
            </w:r>
            <w:proofErr w:type="spellStart"/>
            <w:r w:rsidR="00432A6E">
              <w:rPr>
                <w:rFonts w:ascii="Verdana" w:hAnsi="Verdana"/>
                <w:sz w:val="18"/>
                <w:szCs w:val="18"/>
                <w:lang w:val="de-CH"/>
              </w:rPr>
              <w:t>Tc</w:t>
            </w:r>
            <w:proofErr w:type="spellEnd"/>
            <w:r w:rsidR="00432A6E">
              <w:rPr>
                <w:rFonts w:ascii="Verdana" w:hAnsi="Verdana"/>
                <w:sz w:val="18"/>
                <w:szCs w:val="18"/>
                <w:lang w:val="de-CH"/>
              </w:rPr>
              <w:t xml:space="preserve">-Sätze übernommen werden. Damit kann die Umsetzung des T-PRO in ein SKOS-Vokabular und gleichzeitig die Verankerung des Vokabulars bei der GND </w:t>
            </w:r>
            <w:r w:rsidR="006732CB">
              <w:rPr>
                <w:rFonts w:ascii="Verdana" w:hAnsi="Verdana"/>
                <w:sz w:val="18"/>
                <w:szCs w:val="18"/>
                <w:lang w:val="de-CH"/>
              </w:rPr>
              <w:t xml:space="preserve">über </w:t>
            </w:r>
            <w:proofErr w:type="spellStart"/>
            <w:r w:rsidR="006732CB">
              <w:rPr>
                <w:rFonts w:ascii="Verdana" w:hAnsi="Verdana"/>
                <w:sz w:val="18"/>
                <w:szCs w:val="18"/>
                <w:lang w:val="de-CH"/>
              </w:rPr>
              <w:t>Tc</w:t>
            </w:r>
            <w:proofErr w:type="spellEnd"/>
            <w:r w:rsidR="006732CB">
              <w:rPr>
                <w:rFonts w:ascii="Verdana" w:hAnsi="Verdana"/>
                <w:sz w:val="18"/>
                <w:szCs w:val="18"/>
                <w:lang w:val="de-CH"/>
              </w:rPr>
              <w:t xml:space="preserve">-Sätze </w:t>
            </w:r>
            <w:r w:rsidR="00432A6E">
              <w:rPr>
                <w:rFonts w:ascii="Verdana" w:hAnsi="Verdana"/>
                <w:sz w:val="18"/>
                <w:szCs w:val="18"/>
                <w:lang w:val="de-CH"/>
              </w:rPr>
              <w:t>voraussichtlich Anfang 2023 abgeschlossen werden.</w:t>
            </w:r>
          </w:p>
          <w:p w:rsidR="00432A6E" w:rsidRDefault="00432A6E" w:rsidP="00893BD7">
            <w:pPr>
              <w:rPr>
                <w:rFonts w:ascii="Verdana" w:hAnsi="Verdana"/>
                <w:sz w:val="18"/>
                <w:szCs w:val="18"/>
                <w:lang w:val="de-CH"/>
              </w:rPr>
            </w:pPr>
          </w:p>
          <w:p w:rsidR="00893BD7" w:rsidRPr="00C02247" w:rsidRDefault="00893BD7" w:rsidP="00893BD7">
            <w:pPr>
              <w:rPr>
                <w:rFonts w:ascii="Verdana" w:hAnsi="Verdana"/>
                <w:sz w:val="18"/>
                <w:szCs w:val="18"/>
                <w:lang w:val="de-CH"/>
              </w:rPr>
            </w:pPr>
            <w:r>
              <w:rPr>
                <w:rFonts w:ascii="Verdana" w:hAnsi="Verdana"/>
                <w:sz w:val="18"/>
                <w:szCs w:val="18"/>
                <w:lang w:val="de-CH"/>
              </w:rPr>
              <w:t>Laufend:</w:t>
            </w:r>
          </w:p>
          <w:p w:rsidR="00C02247" w:rsidRPr="00893BD7" w:rsidRDefault="00C02247" w:rsidP="00893BD7">
            <w:pPr>
              <w:pStyle w:val="Listenabsatz"/>
              <w:numPr>
                <w:ilvl w:val="0"/>
                <w:numId w:val="3"/>
              </w:numPr>
              <w:rPr>
                <w:rFonts w:ascii="Verdana" w:hAnsi="Verdana"/>
                <w:sz w:val="18"/>
                <w:szCs w:val="18"/>
                <w:lang w:val="de-CH"/>
              </w:rPr>
            </w:pPr>
            <w:r w:rsidRPr="00893BD7">
              <w:rPr>
                <w:rFonts w:ascii="Verdana" w:hAnsi="Verdana"/>
                <w:sz w:val="18"/>
                <w:szCs w:val="18"/>
                <w:lang w:val="de-CH"/>
              </w:rPr>
              <w:t>Erarbeiten einer Beispielsammlung zur Anwendung des T-PRO und zur Verwendung der einzelnen Deskriptoren</w:t>
            </w:r>
          </w:p>
          <w:p w:rsidR="008C7115" w:rsidRDefault="00C02247" w:rsidP="006732CB">
            <w:pPr>
              <w:pStyle w:val="Listenabsatz"/>
              <w:numPr>
                <w:ilvl w:val="0"/>
                <w:numId w:val="3"/>
              </w:numPr>
              <w:rPr>
                <w:rFonts w:ascii="Verdana" w:hAnsi="Verdana"/>
                <w:sz w:val="18"/>
                <w:szCs w:val="18"/>
                <w:lang w:val="de-CH"/>
              </w:rPr>
            </w:pPr>
            <w:r w:rsidRPr="006732CB">
              <w:rPr>
                <w:rFonts w:ascii="Verdana" w:hAnsi="Verdana"/>
                <w:sz w:val="18"/>
                <w:szCs w:val="18"/>
                <w:lang w:val="de-CH"/>
              </w:rPr>
              <w:t>Umsetzung des T-PRO in ein SKOS-Vokabular</w:t>
            </w:r>
          </w:p>
          <w:p w:rsidR="00BC66F5" w:rsidRPr="006732CB" w:rsidRDefault="00BC66F5" w:rsidP="00BC66F5">
            <w:pPr>
              <w:pStyle w:val="Listenabsatz"/>
              <w:rPr>
                <w:rFonts w:ascii="Verdana" w:hAnsi="Verdana"/>
                <w:sz w:val="18"/>
                <w:szCs w:val="18"/>
                <w:lang w:val="de-CH"/>
              </w:rPr>
            </w:pP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lastRenderedPageBreak/>
              <w:t>Planungen/Offene Themen</w:t>
            </w:r>
          </w:p>
        </w:tc>
      </w:tr>
      <w:tr w:rsidR="008C7115" w:rsidRPr="00C02247" w:rsidTr="000963AF">
        <w:tc>
          <w:tcPr>
            <w:tcW w:w="9062" w:type="dxa"/>
            <w:tcBorders>
              <w:bottom w:val="single" w:sz="4" w:space="0" w:color="auto"/>
            </w:tcBorders>
          </w:tcPr>
          <w:p w:rsidR="008C7115" w:rsidRPr="00C02247" w:rsidRDefault="008C7115">
            <w:pPr>
              <w:rPr>
                <w:rFonts w:ascii="Verdana" w:hAnsi="Verdana"/>
                <w:sz w:val="18"/>
                <w:szCs w:val="18"/>
              </w:rPr>
            </w:pPr>
          </w:p>
          <w:p w:rsidR="0010395B" w:rsidRDefault="00893BD7" w:rsidP="0010395B">
            <w:pPr>
              <w:pStyle w:val="Listenabsatz"/>
              <w:numPr>
                <w:ilvl w:val="0"/>
                <w:numId w:val="3"/>
              </w:numPr>
              <w:rPr>
                <w:rFonts w:ascii="Verdana" w:hAnsi="Verdana"/>
                <w:sz w:val="18"/>
                <w:szCs w:val="18"/>
                <w:lang w:val="de-CH"/>
              </w:rPr>
            </w:pPr>
            <w:r>
              <w:rPr>
                <w:rFonts w:ascii="Verdana" w:hAnsi="Verdana"/>
                <w:sz w:val="18"/>
                <w:szCs w:val="18"/>
                <w:lang w:val="de-CH"/>
              </w:rPr>
              <w:t xml:space="preserve">Diskussion eines </w:t>
            </w:r>
            <w:proofErr w:type="spellStart"/>
            <w:r w:rsidR="00C346EE">
              <w:rPr>
                <w:rFonts w:ascii="Verdana" w:hAnsi="Verdana"/>
                <w:sz w:val="18"/>
                <w:szCs w:val="18"/>
                <w:lang w:val="de-CH"/>
              </w:rPr>
              <w:t>Application</w:t>
            </w:r>
            <w:proofErr w:type="spellEnd"/>
            <w:r w:rsidR="00C346EE">
              <w:rPr>
                <w:rFonts w:ascii="Verdana" w:hAnsi="Verdana"/>
                <w:sz w:val="18"/>
                <w:szCs w:val="18"/>
                <w:lang w:val="de-CH"/>
              </w:rPr>
              <w:t xml:space="preserve"> Profile</w:t>
            </w:r>
            <w:r w:rsidR="0010395B">
              <w:rPr>
                <w:rFonts w:ascii="Verdana" w:hAnsi="Verdana"/>
                <w:sz w:val="18"/>
                <w:szCs w:val="18"/>
                <w:lang w:val="de-CH"/>
              </w:rPr>
              <w:t xml:space="preserve"> </w:t>
            </w:r>
            <w:proofErr w:type="spellStart"/>
            <w:r w:rsidR="0010395B">
              <w:rPr>
                <w:rFonts w:ascii="Verdana" w:hAnsi="Verdana"/>
                <w:sz w:val="18"/>
                <w:szCs w:val="18"/>
                <w:lang w:val="de-CH"/>
              </w:rPr>
              <w:t>Provenienzdaten</w:t>
            </w:r>
            <w:proofErr w:type="spellEnd"/>
            <w:r w:rsidR="00C346EE">
              <w:rPr>
                <w:rFonts w:ascii="Verdana" w:hAnsi="Verdana"/>
                <w:sz w:val="18"/>
                <w:szCs w:val="18"/>
                <w:lang w:val="de-CH"/>
              </w:rPr>
              <w:t xml:space="preserve"> auf der nächsten Sitzung der AG im Januar 2023 (Gast: Herr </w:t>
            </w:r>
            <w:proofErr w:type="spellStart"/>
            <w:r w:rsidR="00C346EE">
              <w:rPr>
                <w:rFonts w:ascii="Verdana" w:hAnsi="Verdana"/>
                <w:sz w:val="18"/>
                <w:szCs w:val="18"/>
                <w:lang w:val="de-CH"/>
              </w:rPr>
              <w:t>Manecke</w:t>
            </w:r>
            <w:proofErr w:type="spellEnd"/>
            <w:r w:rsidR="00C346EE">
              <w:rPr>
                <w:rFonts w:ascii="Verdana" w:hAnsi="Verdana"/>
                <w:sz w:val="18"/>
                <w:szCs w:val="18"/>
                <w:lang w:val="de-CH"/>
              </w:rPr>
              <w:t>)</w:t>
            </w:r>
          </w:p>
          <w:p w:rsidR="0010395B" w:rsidRDefault="0010395B" w:rsidP="00ED434C">
            <w:pPr>
              <w:pStyle w:val="Listenabsatz"/>
              <w:numPr>
                <w:ilvl w:val="0"/>
                <w:numId w:val="3"/>
              </w:numPr>
              <w:rPr>
                <w:rFonts w:ascii="Verdana" w:hAnsi="Verdana"/>
                <w:sz w:val="18"/>
                <w:szCs w:val="18"/>
                <w:lang w:val="de-CH"/>
              </w:rPr>
            </w:pPr>
            <w:r w:rsidRPr="00C346EE">
              <w:rPr>
                <w:rFonts w:ascii="Verdana" w:hAnsi="Verdana"/>
                <w:sz w:val="18"/>
                <w:szCs w:val="18"/>
                <w:lang w:val="de-CH"/>
              </w:rPr>
              <w:t>Neues AP</w:t>
            </w:r>
            <w:r w:rsidR="00C346EE" w:rsidRPr="00C346EE">
              <w:rPr>
                <w:rFonts w:ascii="Verdana" w:hAnsi="Verdana"/>
                <w:sz w:val="18"/>
                <w:szCs w:val="18"/>
                <w:lang w:val="de-CH"/>
              </w:rPr>
              <w:t xml:space="preserve"> zur Abstimmung über Bedarfe der </w:t>
            </w:r>
            <w:proofErr w:type="spellStart"/>
            <w:r w:rsidR="00C346EE" w:rsidRPr="00C346EE">
              <w:rPr>
                <w:rFonts w:ascii="Verdana" w:hAnsi="Verdana"/>
                <w:sz w:val="18"/>
                <w:szCs w:val="18"/>
                <w:lang w:val="de-CH"/>
              </w:rPr>
              <w:t>Provenienzerschließung</w:t>
            </w:r>
            <w:proofErr w:type="spellEnd"/>
            <w:r w:rsidR="00C346EE" w:rsidRPr="00C346EE">
              <w:rPr>
                <w:rFonts w:ascii="Verdana" w:hAnsi="Verdana"/>
                <w:sz w:val="18"/>
                <w:szCs w:val="18"/>
                <w:lang w:val="de-CH"/>
              </w:rPr>
              <w:t xml:space="preserve"> in Verbundsystemen ohne strukturierte Felder für </w:t>
            </w:r>
            <w:proofErr w:type="spellStart"/>
            <w:r w:rsidR="00C346EE" w:rsidRPr="00C346EE">
              <w:rPr>
                <w:rFonts w:ascii="Verdana" w:hAnsi="Verdana"/>
                <w:sz w:val="18"/>
                <w:szCs w:val="18"/>
                <w:lang w:val="de-CH"/>
              </w:rPr>
              <w:t>Provenienzdaten</w:t>
            </w:r>
            <w:proofErr w:type="spellEnd"/>
            <w:r w:rsidR="00C346EE" w:rsidRPr="00C346EE">
              <w:rPr>
                <w:rFonts w:ascii="Verdana" w:hAnsi="Verdana"/>
                <w:sz w:val="18"/>
                <w:szCs w:val="18"/>
                <w:lang w:val="de-CH"/>
              </w:rPr>
              <w:t xml:space="preserve"> (Interessenbekundung läuft). Ziel:</w:t>
            </w:r>
            <w:r w:rsidRPr="00C346EE">
              <w:rPr>
                <w:rFonts w:ascii="Verdana" w:hAnsi="Verdana"/>
                <w:sz w:val="18"/>
                <w:szCs w:val="18"/>
                <w:lang w:val="de-CH"/>
              </w:rPr>
              <w:t xml:space="preserve"> E</w:t>
            </w:r>
            <w:r w:rsidR="00893BD7" w:rsidRPr="00C346EE">
              <w:rPr>
                <w:rFonts w:ascii="Verdana" w:hAnsi="Verdana"/>
                <w:sz w:val="18"/>
                <w:szCs w:val="18"/>
                <w:lang w:val="de-CH"/>
              </w:rPr>
              <w:t>ntwicklung niederschwelliger interoperabler Erfassungsmöglichkeiten</w:t>
            </w:r>
            <w:r w:rsidRPr="00C346EE">
              <w:rPr>
                <w:rFonts w:ascii="Verdana" w:hAnsi="Verdana"/>
                <w:sz w:val="18"/>
                <w:szCs w:val="18"/>
                <w:lang w:val="de-CH"/>
              </w:rPr>
              <w:t xml:space="preserve"> für </w:t>
            </w:r>
            <w:proofErr w:type="spellStart"/>
            <w:r w:rsidRPr="00C346EE">
              <w:rPr>
                <w:rFonts w:ascii="Verdana" w:hAnsi="Verdana"/>
                <w:sz w:val="18"/>
                <w:szCs w:val="18"/>
                <w:lang w:val="de-CH"/>
              </w:rPr>
              <w:t>Provenienzdaten</w:t>
            </w:r>
            <w:proofErr w:type="spellEnd"/>
            <w:r w:rsidRPr="00C346EE">
              <w:rPr>
                <w:rFonts w:ascii="Verdana" w:hAnsi="Verdana"/>
                <w:sz w:val="18"/>
                <w:szCs w:val="18"/>
                <w:lang w:val="de-CH"/>
              </w:rPr>
              <w:t xml:space="preserve"> in </w:t>
            </w:r>
            <w:r w:rsidR="00893BD7" w:rsidRPr="00C346EE">
              <w:rPr>
                <w:rFonts w:ascii="Verdana" w:hAnsi="Verdana"/>
                <w:sz w:val="18"/>
                <w:szCs w:val="18"/>
                <w:lang w:val="de-CH"/>
              </w:rPr>
              <w:t>weiteren</w:t>
            </w:r>
            <w:r w:rsidRPr="00C346EE">
              <w:rPr>
                <w:rFonts w:ascii="Verdana" w:hAnsi="Verdana"/>
                <w:sz w:val="18"/>
                <w:szCs w:val="18"/>
                <w:lang w:val="de-CH"/>
              </w:rPr>
              <w:t xml:space="preserve"> Verbünden</w:t>
            </w:r>
            <w:r w:rsidR="00893BD7" w:rsidRPr="00C346EE">
              <w:rPr>
                <w:rFonts w:ascii="Verdana" w:hAnsi="Verdana"/>
                <w:sz w:val="18"/>
                <w:szCs w:val="18"/>
                <w:lang w:val="de-CH"/>
              </w:rPr>
              <w:t>/Discovery Systemen (</w:t>
            </w:r>
            <w:proofErr w:type="spellStart"/>
            <w:r w:rsidR="00893BD7" w:rsidRPr="00C346EE">
              <w:rPr>
                <w:rFonts w:ascii="Verdana" w:hAnsi="Verdana"/>
                <w:sz w:val="18"/>
                <w:szCs w:val="18"/>
                <w:lang w:val="de-CH"/>
              </w:rPr>
              <w:t>Aleph</w:t>
            </w:r>
            <w:proofErr w:type="spellEnd"/>
            <w:r w:rsidR="00893BD7" w:rsidRPr="00C346EE">
              <w:rPr>
                <w:rFonts w:ascii="Verdana" w:hAnsi="Verdana"/>
                <w:sz w:val="18"/>
                <w:szCs w:val="18"/>
                <w:lang w:val="de-CH"/>
              </w:rPr>
              <w:t xml:space="preserve">, </w:t>
            </w:r>
            <w:proofErr w:type="spellStart"/>
            <w:r w:rsidR="00893BD7" w:rsidRPr="00C346EE">
              <w:rPr>
                <w:rFonts w:ascii="Verdana" w:hAnsi="Verdana"/>
                <w:sz w:val="18"/>
                <w:szCs w:val="18"/>
                <w:lang w:val="de-CH"/>
              </w:rPr>
              <w:t>Sisis</w:t>
            </w:r>
            <w:proofErr w:type="spellEnd"/>
            <w:r w:rsidR="00893BD7" w:rsidRPr="00C346EE">
              <w:rPr>
                <w:rFonts w:ascii="Verdana" w:hAnsi="Verdana"/>
                <w:sz w:val="18"/>
                <w:szCs w:val="18"/>
                <w:lang w:val="de-CH"/>
              </w:rPr>
              <w:t>, Alma etc.)</w:t>
            </w:r>
          </w:p>
          <w:p w:rsidR="00C346EE" w:rsidRPr="00C346EE" w:rsidRDefault="00C346EE" w:rsidP="00C346EE">
            <w:pPr>
              <w:pStyle w:val="Listenabsatz"/>
              <w:numPr>
                <w:ilvl w:val="0"/>
                <w:numId w:val="3"/>
              </w:numPr>
              <w:rPr>
                <w:rFonts w:ascii="Verdana" w:hAnsi="Verdana"/>
                <w:sz w:val="18"/>
                <w:szCs w:val="18"/>
                <w:lang w:val="de-CH"/>
              </w:rPr>
            </w:pPr>
            <w:r>
              <w:rPr>
                <w:rFonts w:ascii="Verdana" w:hAnsi="Verdana"/>
                <w:sz w:val="18"/>
                <w:szCs w:val="18"/>
                <w:lang w:val="de-CH"/>
              </w:rPr>
              <w:t xml:space="preserve">Planung einer GND-Redaktion </w:t>
            </w:r>
            <w:proofErr w:type="spellStart"/>
            <w:r>
              <w:rPr>
                <w:rFonts w:ascii="Verdana" w:hAnsi="Verdana"/>
                <w:sz w:val="18"/>
                <w:szCs w:val="18"/>
                <w:lang w:val="de-CH"/>
              </w:rPr>
              <w:t>Provenienzdaten</w:t>
            </w:r>
            <w:proofErr w:type="spellEnd"/>
            <w:r>
              <w:rPr>
                <w:rFonts w:ascii="Verdana" w:hAnsi="Verdana"/>
                <w:sz w:val="18"/>
                <w:szCs w:val="18"/>
                <w:lang w:val="de-CH"/>
              </w:rPr>
              <w:t xml:space="preserve"> (SBB)</w:t>
            </w:r>
          </w:p>
          <w:p w:rsidR="008C7115" w:rsidRPr="0010395B" w:rsidRDefault="008C7115">
            <w:pPr>
              <w:rPr>
                <w:rFonts w:ascii="Verdana" w:hAnsi="Verdana"/>
                <w:sz w:val="18"/>
                <w:szCs w:val="18"/>
                <w:lang w:val="de-CH"/>
              </w:rPr>
            </w:pP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t>Zusammenarbeit mit anderen Arbeitsgruppen</w:t>
            </w:r>
          </w:p>
        </w:tc>
      </w:tr>
      <w:tr w:rsidR="008C7115" w:rsidRPr="00C02247" w:rsidTr="000963AF">
        <w:tc>
          <w:tcPr>
            <w:tcW w:w="9062" w:type="dxa"/>
            <w:tcBorders>
              <w:bottom w:val="single" w:sz="4" w:space="0" w:color="auto"/>
            </w:tcBorders>
          </w:tcPr>
          <w:p w:rsidR="008C7115" w:rsidRPr="00C02247" w:rsidRDefault="008C7115">
            <w:pPr>
              <w:rPr>
                <w:rFonts w:ascii="Verdana" w:hAnsi="Verdana"/>
                <w:sz w:val="18"/>
                <w:szCs w:val="18"/>
              </w:rPr>
            </w:pPr>
          </w:p>
          <w:p w:rsidR="008C7115" w:rsidRDefault="00C02247" w:rsidP="00C02247">
            <w:pPr>
              <w:pStyle w:val="Listenabsatz"/>
              <w:numPr>
                <w:ilvl w:val="0"/>
                <w:numId w:val="2"/>
              </w:numPr>
              <w:rPr>
                <w:rFonts w:ascii="Verdana" w:hAnsi="Verdana"/>
                <w:sz w:val="18"/>
                <w:szCs w:val="18"/>
              </w:rPr>
            </w:pPr>
            <w:proofErr w:type="spellStart"/>
            <w:r>
              <w:rPr>
                <w:rFonts w:ascii="Verdana" w:hAnsi="Verdana"/>
                <w:sz w:val="18"/>
                <w:szCs w:val="18"/>
              </w:rPr>
              <w:t>dbv</w:t>
            </w:r>
            <w:proofErr w:type="spellEnd"/>
            <w:r>
              <w:rPr>
                <w:rFonts w:ascii="Verdana" w:hAnsi="Verdana"/>
                <w:sz w:val="18"/>
                <w:szCs w:val="18"/>
              </w:rPr>
              <w:t xml:space="preserve">-Kommission Provenienzforschung und </w:t>
            </w:r>
            <w:proofErr w:type="spellStart"/>
            <w:r>
              <w:rPr>
                <w:rFonts w:ascii="Verdana" w:hAnsi="Verdana"/>
                <w:sz w:val="18"/>
                <w:szCs w:val="18"/>
              </w:rPr>
              <w:t>Provenienzerschließung</w:t>
            </w:r>
            <w:proofErr w:type="spellEnd"/>
          </w:p>
          <w:p w:rsidR="00C02247" w:rsidRDefault="009E1881" w:rsidP="00C02247">
            <w:pPr>
              <w:pStyle w:val="Listenabsatz"/>
              <w:numPr>
                <w:ilvl w:val="0"/>
                <w:numId w:val="2"/>
              </w:numPr>
              <w:rPr>
                <w:rFonts w:ascii="Verdana" w:hAnsi="Verdana"/>
                <w:sz w:val="18"/>
                <w:szCs w:val="18"/>
              </w:rPr>
            </w:pPr>
            <w:r>
              <w:rPr>
                <w:rFonts w:ascii="Verdana" w:hAnsi="Verdana"/>
                <w:sz w:val="18"/>
                <w:szCs w:val="18"/>
              </w:rPr>
              <w:t>Fachgruppe Datenformate (zu AP2)</w:t>
            </w:r>
          </w:p>
          <w:p w:rsidR="00C02247" w:rsidRDefault="009E1881" w:rsidP="00C02247">
            <w:pPr>
              <w:pStyle w:val="Listenabsatz"/>
              <w:numPr>
                <w:ilvl w:val="0"/>
                <w:numId w:val="2"/>
              </w:numPr>
              <w:rPr>
                <w:rFonts w:ascii="Verdana" w:hAnsi="Verdana"/>
                <w:sz w:val="18"/>
                <w:szCs w:val="18"/>
              </w:rPr>
            </w:pPr>
            <w:r>
              <w:rPr>
                <w:rFonts w:ascii="Verdana" w:hAnsi="Verdana"/>
                <w:sz w:val="18"/>
                <w:szCs w:val="18"/>
              </w:rPr>
              <w:t>Fachgruppe Erschließung (zu AP3)</w:t>
            </w:r>
          </w:p>
          <w:p w:rsidR="009E1881" w:rsidRDefault="009E1881" w:rsidP="00C02247">
            <w:pPr>
              <w:pStyle w:val="Listenabsatz"/>
              <w:numPr>
                <w:ilvl w:val="0"/>
                <w:numId w:val="2"/>
              </w:numPr>
              <w:rPr>
                <w:rFonts w:ascii="Verdana" w:hAnsi="Verdana"/>
                <w:sz w:val="18"/>
                <w:szCs w:val="18"/>
              </w:rPr>
            </w:pPr>
            <w:r>
              <w:rPr>
                <w:rFonts w:ascii="Verdana" w:hAnsi="Verdana"/>
                <w:sz w:val="18"/>
                <w:szCs w:val="18"/>
              </w:rPr>
              <w:t>Projekt</w:t>
            </w:r>
            <w:r w:rsidR="00BC66F5">
              <w:rPr>
                <w:rFonts w:ascii="Verdana" w:hAnsi="Verdana"/>
                <w:sz w:val="18"/>
                <w:szCs w:val="18"/>
              </w:rPr>
              <w:t>gruppe</w:t>
            </w:r>
            <w:r>
              <w:rPr>
                <w:rFonts w:ascii="Verdana" w:hAnsi="Verdana"/>
                <w:sz w:val="18"/>
                <w:szCs w:val="18"/>
              </w:rPr>
              <w:t xml:space="preserve"> GND-</w:t>
            </w:r>
            <w:proofErr w:type="spellStart"/>
            <w:r>
              <w:rPr>
                <w:rFonts w:ascii="Verdana" w:hAnsi="Verdana"/>
                <w:sz w:val="18"/>
                <w:szCs w:val="18"/>
              </w:rPr>
              <w:t>mul</w:t>
            </w:r>
            <w:proofErr w:type="spellEnd"/>
            <w:r>
              <w:rPr>
                <w:rFonts w:ascii="Verdana" w:hAnsi="Verdana"/>
                <w:sz w:val="18"/>
                <w:szCs w:val="18"/>
              </w:rPr>
              <w:t xml:space="preserve"> (zu AP4)</w:t>
            </w:r>
          </w:p>
          <w:p w:rsidR="009E1881" w:rsidRDefault="009E1881" w:rsidP="00C02247">
            <w:pPr>
              <w:pStyle w:val="Listenabsatz"/>
              <w:numPr>
                <w:ilvl w:val="0"/>
                <w:numId w:val="2"/>
              </w:numPr>
              <w:rPr>
                <w:rFonts w:ascii="Verdana" w:hAnsi="Verdana"/>
                <w:sz w:val="18"/>
                <w:szCs w:val="18"/>
              </w:rPr>
            </w:pPr>
            <w:r>
              <w:rPr>
                <w:rFonts w:ascii="Verdana" w:hAnsi="Verdana"/>
                <w:sz w:val="18"/>
                <w:szCs w:val="18"/>
              </w:rPr>
              <w:t>Verbundzentrale Göttingen / DANTE (zu AP4)</w:t>
            </w:r>
          </w:p>
          <w:p w:rsidR="009E1881" w:rsidRDefault="009E1881" w:rsidP="009E1881">
            <w:pPr>
              <w:pStyle w:val="Listenabsatz"/>
              <w:numPr>
                <w:ilvl w:val="0"/>
                <w:numId w:val="2"/>
              </w:numPr>
              <w:rPr>
                <w:rFonts w:ascii="Verdana" w:hAnsi="Verdana"/>
                <w:sz w:val="18"/>
                <w:szCs w:val="18"/>
              </w:rPr>
            </w:pPr>
            <w:r>
              <w:rPr>
                <w:rFonts w:ascii="Verdana" w:hAnsi="Verdana"/>
                <w:sz w:val="18"/>
                <w:szCs w:val="18"/>
              </w:rPr>
              <w:t>Arbeitsstelle für Standardisierung (Erschließungshandbuch</w:t>
            </w:r>
            <w:r w:rsidR="006732CB">
              <w:rPr>
                <w:rFonts w:ascii="Verdana" w:hAnsi="Verdana"/>
                <w:sz w:val="18"/>
                <w:szCs w:val="18"/>
              </w:rPr>
              <w:t>/</w:t>
            </w:r>
            <w:proofErr w:type="spellStart"/>
            <w:r w:rsidR="006732CB">
              <w:rPr>
                <w:rFonts w:ascii="Verdana" w:hAnsi="Verdana"/>
                <w:sz w:val="18"/>
                <w:szCs w:val="18"/>
              </w:rPr>
              <w:t>Application</w:t>
            </w:r>
            <w:proofErr w:type="spellEnd"/>
            <w:r w:rsidR="006732CB">
              <w:rPr>
                <w:rFonts w:ascii="Verdana" w:hAnsi="Verdana"/>
                <w:sz w:val="18"/>
                <w:szCs w:val="18"/>
              </w:rPr>
              <w:t xml:space="preserve"> Profile etc.</w:t>
            </w:r>
            <w:r>
              <w:rPr>
                <w:rFonts w:ascii="Verdana" w:hAnsi="Verdana"/>
                <w:sz w:val="18"/>
                <w:szCs w:val="18"/>
              </w:rPr>
              <w:t>)</w:t>
            </w:r>
          </w:p>
          <w:p w:rsidR="00BC66F5" w:rsidRDefault="00BC66F5" w:rsidP="00BC66F5">
            <w:pPr>
              <w:rPr>
                <w:rFonts w:ascii="Verdana" w:hAnsi="Verdana"/>
                <w:sz w:val="18"/>
                <w:szCs w:val="18"/>
              </w:rPr>
            </w:pPr>
          </w:p>
          <w:p w:rsidR="00BC66F5" w:rsidRDefault="00BC66F5" w:rsidP="00BC66F5">
            <w:pPr>
              <w:rPr>
                <w:rFonts w:ascii="Verdana" w:hAnsi="Verdana"/>
                <w:sz w:val="18"/>
                <w:szCs w:val="18"/>
              </w:rPr>
            </w:pPr>
          </w:p>
          <w:p w:rsidR="00BC66F5" w:rsidRDefault="00BC66F5" w:rsidP="00BC66F5">
            <w:pPr>
              <w:rPr>
                <w:rFonts w:ascii="Verdana" w:hAnsi="Verdana"/>
                <w:sz w:val="18"/>
                <w:szCs w:val="18"/>
              </w:rPr>
            </w:pPr>
          </w:p>
          <w:p w:rsidR="00BC66F5" w:rsidRDefault="00BC66F5" w:rsidP="00BC66F5">
            <w:pPr>
              <w:rPr>
                <w:rFonts w:ascii="Verdana" w:hAnsi="Verdana"/>
                <w:sz w:val="18"/>
                <w:szCs w:val="18"/>
              </w:rPr>
            </w:pPr>
          </w:p>
          <w:p w:rsidR="00BC66F5" w:rsidRDefault="00BC66F5" w:rsidP="00BC66F5">
            <w:pPr>
              <w:rPr>
                <w:rFonts w:ascii="Verdana" w:hAnsi="Verdana"/>
                <w:sz w:val="18"/>
                <w:szCs w:val="18"/>
              </w:rPr>
            </w:pPr>
          </w:p>
          <w:p w:rsidR="00BC66F5" w:rsidRPr="00BC66F5" w:rsidRDefault="00BC66F5" w:rsidP="00BC66F5">
            <w:pPr>
              <w:rPr>
                <w:rFonts w:ascii="Verdana" w:hAnsi="Verdana"/>
                <w:sz w:val="18"/>
                <w:szCs w:val="18"/>
              </w:rPr>
            </w:pP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lastRenderedPageBreak/>
              <w:t>Öffentlichkeitsarbeit</w:t>
            </w:r>
          </w:p>
        </w:tc>
      </w:tr>
      <w:tr w:rsidR="008C7115" w:rsidRPr="00C02247" w:rsidTr="000963AF">
        <w:tc>
          <w:tcPr>
            <w:tcW w:w="9062" w:type="dxa"/>
            <w:tcBorders>
              <w:bottom w:val="single" w:sz="4" w:space="0" w:color="auto"/>
            </w:tcBorders>
          </w:tcPr>
          <w:p w:rsidR="008C7115" w:rsidRPr="00C02247" w:rsidRDefault="008C7115">
            <w:pPr>
              <w:rPr>
                <w:rFonts w:ascii="Verdana" w:hAnsi="Verdana"/>
                <w:sz w:val="18"/>
                <w:szCs w:val="18"/>
              </w:rPr>
            </w:pPr>
          </w:p>
          <w:p w:rsidR="008C7115" w:rsidRPr="00C02247" w:rsidRDefault="00432A6E">
            <w:pPr>
              <w:rPr>
                <w:rFonts w:ascii="Verdana" w:hAnsi="Verdana"/>
                <w:sz w:val="18"/>
                <w:szCs w:val="18"/>
              </w:rPr>
            </w:pPr>
            <w:r>
              <w:rPr>
                <w:rFonts w:ascii="Verdana" w:hAnsi="Verdana"/>
                <w:sz w:val="18"/>
                <w:szCs w:val="18"/>
              </w:rPr>
              <w:t xml:space="preserve">Regelmäßige </w:t>
            </w:r>
            <w:r w:rsidR="009E1881">
              <w:rPr>
                <w:rFonts w:ascii="Verdana" w:hAnsi="Verdana"/>
                <w:sz w:val="18"/>
                <w:szCs w:val="18"/>
              </w:rPr>
              <w:t>Vorstellung der aktuellen Arbeiten in der Fachcommunity, z.B. Arbeitskreis Provenienzforschung und Restitution – Bibliotheken (APR-</w:t>
            </w:r>
            <w:proofErr w:type="spellStart"/>
            <w:r w:rsidR="009E1881">
              <w:rPr>
                <w:rFonts w:ascii="Verdana" w:hAnsi="Verdana"/>
                <w:sz w:val="18"/>
                <w:szCs w:val="18"/>
              </w:rPr>
              <w:t>Bib</w:t>
            </w:r>
            <w:proofErr w:type="spellEnd"/>
            <w:r w:rsidR="009E1881">
              <w:rPr>
                <w:rFonts w:ascii="Verdana" w:hAnsi="Verdana"/>
                <w:sz w:val="18"/>
                <w:szCs w:val="18"/>
              </w:rPr>
              <w:t xml:space="preserve">), </w:t>
            </w:r>
            <w:r w:rsidR="00A02619">
              <w:rPr>
                <w:rFonts w:ascii="Verdana" w:hAnsi="Verdana"/>
                <w:sz w:val="18"/>
                <w:szCs w:val="18"/>
              </w:rPr>
              <w:t xml:space="preserve">Arbeitsgemeinschaft Alte Drucke beim GBV und SWB, </w:t>
            </w:r>
            <w:r w:rsidRPr="00432A6E">
              <w:rPr>
                <w:rFonts w:ascii="Verdana" w:hAnsi="Verdana"/>
                <w:sz w:val="18"/>
                <w:szCs w:val="18"/>
              </w:rPr>
              <w:t xml:space="preserve">14. </w:t>
            </w:r>
            <w:proofErr w:type="spellStart"/>
            <w:r w:rsidRPr="00432A6E">
              <w:rPr>
                <w:rFonts w:ascii="Verdana" w:hAnsi="Verdana"/>
                <w:sz w:val="18"/>
                <w:szCs w:val="18"/>
              </w:rPr>
              <w:t>Blaubeurener</w:t>
            </w:r>
            <w:proofErr w:type="spellEnd"/>
            <w:r w:rsidRPr="00432A6E">
              <w:rPr>
                <w:rFonts w:ascii="Verdana" w:hAnsi="Verdana"/>
                <w:sz w:val="18"/>
                <w:szCs w:val="18"/>
              </w:rPr>
              <w:t xml:space="preserve"> Symposium „Handschriften und Alte Drucke“</w:t>
            </w:r>
            <w:r>
              <w:rPr>
                <w:rFonts w:ascii="Verdana" w:hAnsi="Verdana"/>
                <w:sz w:val="18"/>
                <w:szCs w:val="18"/>
              </w:rPr>
              <w:t xml:space="preserve"> 16.-18.11.2022. Diverse Fortbildungsveranstaltungen (v.a. in Zusammenarbeit mit der </w:t>
            </w:r>
            <w:proofErr w:type="spellStart"/>
            <w:r>
              <w:rPr>
                <w:rFonts w:ascii="Verdana" w:hAnsi="Verdana"/>
                <w:sz w:val="18"/>
                <w:szCs w:val="18"/>
              </w:rPr>
              <w:t>dbv</w:t>
            </w:r>
            <w:proofErr w:type="spellEnd"/>
            <w:r>
              <w:rPr>
                <w:rFonts w:ascii="Verdana" w:hAnsi="Verdana"/>
                <w:sz w:val="18"/>
                <w:szCs w:val="18"/>
              </w:rPr>
              <w:t>-Kommission).</w:t>
            </w: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t>Sonstiges</w:t>
            </w:r>
          </w:p>
        </w:tc>
      </w:tr>
      <w:tr w:rsidR="008C7115" w:rsidRPr="00C02247" w:rsidTr="000963AF">
        <w:tc>
          <w:tcPr>
            <w:tcW w:w="9062" w:type="dxa"/>
            <w:tcBorders>
              <w:bottom w:val="single" w:sz="4" w:space="0" w:color="auto"/>
            </w:tcBorders>
          </w:tcPr>
          <w:p w:rsidR="008C7115" w:rsidRPr="00C02247" w:rsidRDefault="008C7115">
            <w:pPr>
              <w:rPr>
                <w:rFonts w:ascii="Verdana" w:hAnsi="Verdana"/>
                <w:sz w:val="18"/>
                <w:szCs w:val="18"/>
              </w:rPr>
            </w:pPr>
          </w:p>
          <w:p w:rsidR="008C7115" w:rsidRPr="00C02247" w:rsidRDefault="00BC66F5">
            <w:pPr>
              <w:rPr>
                <w:rFonts w:ascii="Verdana" w:hAnsi="Verdana"/>
                <w:sz w:val="18"/>
                <w:szCs w:val="18"/>
              </w:rPr>
            </w:pPr>
            <w:r>
              <w:rPr>
                <w:rFonts w:ascii="Verdana" w:hAnsi="Verdana"/>
                <w:sz w:val="18"/>
                <w:szCs w:val="18"/>
              </w:rPr>
              <w:t>Die gemeinsamen Treffen aller Arbeitsgruppen haben sich als informativ und zur raschen Abstimmung und gegenseitigen Vernetzung als außerordentlich wertvoll erwiesen.</w:t>
            </w: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t>Na</w:t>
            </w:r>
            <w:r w:rsidR="000963AF" w:rsidRPr="00C02247">
              <w:rPr>
                <w:rFonts w:ascii="Verdana" w:hAnsi="Verdana"/>
                <w:sz w:val="18"/>
                <w:szCs w:val="18"/>
              </w:rPr>
              <w:t>me/Datum</w:t>
            </w:r>
          </w:p>
        </w:tc>
      </w:tr>
      <w:tr w:rsidR="008C7115" w:rsidRPr="00C02247" w:rsidTr="008C7115">
        <w:tc>
          <w:tcPr>
            <w:tcW w:w="9062" w:type="dxa"/>
          </w:tcPr>
          <w:p w:rsidR="0010395B" w:rsidRDefault="0010395B">
            <w:pPr>
              <w:rPr>
                <w:rFonts w:ascii="Verdana" w:hAnsi="Verdana"/>
                <w:sz w:val="18"/>
                <w:szCs w:val="18"/>
              </w:rPr>
            </w:pPr>
          </w:p>
          <w:p w:rsidR="008C7115" w:rsidRPr="00C02247" w:rsidRDefault="0010395B">
            <w:pPr>
              <w:rPr>
                <w:rFonts w:ascii="Verdana" w:hAnsi="Verdana"/>
                <w:sz w:val="18"/>
                <w:szCs w:val="18"/>
              </w:rPr>
            </w:pPr>
            <w:r>
              <w:rPr>
                <w:rFonts w:ascii="Verdana" w:hAnsi="Verdana"/>
                <w:sz w:val="18"/>
                <w:szCs w:val="18"/>
              </w:rPr>
              <w:t>Michaela Scheibe / 09.11.2022</w:t>
            </w:r>
          </w:p>
          <w:p w:rsidR="008C7115" w:rsidRPr="00C02247" w:rsidRDefault="008C7115">
            <w:pPr>
              <w:rPr>
                <w:rFonts w:ascii="Verdana" w:hAnsi="Verdana"/>
                <w:sz w:val="18"/>
                <w:szCs w:val="18"/>
              </w:rPr>
            </w:pPr>
          </w:p>
        </w:tc>
      </w:tr>
    </w:tbl>
    <w:p w:rsidR="008C7115" w:rsidRPr="00C02247" w:rsidRDefault="008C7115">
      <w:pPr>
        <w:rPr>
          <w:rFonts w:ascii="Verdana" w:hAnsi="Verdana"/>
          <w:sz w:val="18"/>
          <w:szCs w:val="18"/>
        </w:rPr>
      </w:pPr>
    </w:p>
    <w:p w:rsidR="008C7115" w:rsidRPr="00C02247" w:rsidRDefault="008C7115">
      <w:pPr>
        <w:rPr>
          <w:rFonts w:ascii="Verdana" w:hAnsi="Verdana"/>
          <w:sz w:val="18"/>
          <w:szCs w:val="18"/>
        </w:rPr>
      </w:pPr>
    </w:p>
    <w:sectPr w:rsidR="008C7115" w:rsidRPr="00C022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885" w:rsidRDefault="00F26885" w:rsidP="00ED434C">
      <w:pPr>
        <w:spacing w:after="0" w:line="240" w:lineRule="auto"/>
      </w:pPr>
      <w:r>
        <w:separator/>
      </w:r>
    </w:p>
  </w:endnote>
  <w:endnote w:type="continuationSeparator" w:id="0">
    <w:p w:rsidR="00F26885" w:rsidRDefault="00F26885" w:rsidP="00ED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885" w:rsidRDefault="00F26885" w:rsidP="00ED434C">
      <w:pPr>
        <w:spacing w:after="0" w:line="240" w:lineRule="auto"/>
      </w:pPr>
      <w:r>
        <w:separator/>
      </w:r>
    </w:p>
  </w:footnote>
  <w:footnote w:type="continuationSeparator" w:id="0">
    <w:p w:rsidR="00F26885" w:rsidRDefault="00F26885" w:rsidP="00ED434C">
      <w:pPr>
        <w:spacing w:after="0" w:line="240" w:lineRule="auto"/>
      </w:pPr>
      <w:r>
        <w:continuationSeparator/>
      </w:r>
    </w:p>
  </w:footnote>
  <w:footnote w:id="1">
    <w:p w:rsidR="00F26885" w:rsidRDefault="00F26885" w:rsidP="00F26885">
      <w:pPr>
        <w:pStyle w:val="Funotentext"/>
      </w:pPr>
      <w:r>
        <w:rPr>
          <w:rStyle w:val="Funotenzeichen"/>
        </w:rPr>
        <w:footnoteRef/>
      </w:r>
      <w:r>
        <w:t xml:space="preserve"> </w:t>
      </w:r>
      <w:hyperlink r:id="rId1" w:history="1">
        <w:r w:rsidRPr="00FE17C4">
          <w:rPr>
            <w:rStyle w:val="Hyperlink"/>
          </w:rPr>
          <w:t>https://www.loc.gov/marc/bibliographic/bd561.html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2F6"/>
    <w:multiLevelType w:val="hybridMultilevel"/>
    <w:tmpl w:val="4B963216"/>
    <w:lvl w:ilvl="0" w:tplc="BE845036">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B1747"/>
    <w:multiLevelType w:val="hybridMultilevel"/>
    <w:tmpl w:val="73748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6D4B98"/>
    <w:multiLevelType w:val="hybridMultilevel"/>
    <w:tmpl w:val="7CE602F6"/>
    <w:lvl w:ilvl="0" w:tplc="BE845036">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46115D"/>
    <w:multiLevelType w:val="hybridMultilevel"/>
    <w:tmpl w:val="B4A6EFC4"/>
    <w:lvl w:ilvl="0" w:tplc="BE845036">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15"/>
    <w:rsid w:val="000963AF"/>
    <w:rsid w:val="0010395B"/>
    <w:rsid w:val="0020697A"/>
    <w:rsid w:val="002F36C2"/>
    <w:rsid w:val="00432A6E"/>
    <w:rsid w:val="006732CB"/>
    <w:rsid w:val="00762D6C"/>
    <w:rsid w:val="00893BD7"/>
    <w:rsid w:val="008C7115"/>
    <w:rsid w:val="00987D4E"/>
    <w:rsid w:val="009B187A"/>
    <w:rsid w:val="009E1881"/>
    <w:rsid w:val="00A02619"/>
    <w:rsid w:val="00B550E5"/>
    <w:rsid w:val="00B63F0E"/>
    <w:rsid w:val="00B7437C"/>
    <w:rsid w:val="00BC66F5"/>
    <w:rsid w:val="00C02247"/>
    <w:rsid w:val="00C346EE"/>
    <w:rsid w:val="00ED434C"/>
    <w:rsid w:val="00F26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B14F4-C807-49F9-95D9-2183F75E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02247"/>
    <w:rPr>
      <w:color w:val="0563C1" w:themeColor="hyperlink"/>
      <w:u w:val="single"/>
    </w:rPr>
  </w:style>
  <w:style w:type="paragraph" w:styleId="Listenabsatz">
    <w:name w:val="List Paragraph"/>
    <w:basedOn w:val="Standard"/>
    <w:uiPriority w:val="34"/>
    <w:qFormat/>
    <w:rsid w:val="00C02247"/>
    <w:pPr>
      <w:ind w:left="720"/>
      <w:contextualSpacing/>
    </w:pPr>
  </w:style>
  <w:style w:type="character" w:styleId="BesuchterLink">
    <w:name w:val="FollowedHyperlink"/>
    <w:basedOn w:val="Absatz-Standardschriftart"/>
    <w:uiPriority w:val="99"/>
    <w:semiHidden/>
    <w:unhideWhenUsed/>
    <w:rsid w:val="0010395B"/>
    <w:rPr>
      <w:color w:val="954F72" w:themeColor="followedHyperlink"/>
      <w:u w:val="single"/>
    </w:rPr>
  </w:style>
  <w:style w:type="paragraph" w:styleId="Funotentext">
    <w:name w:val="footnote text"/>
    <w:basedOn w:val="Standard"/>
    <w:link w:val="FunotentextZchn"/>
    <w:uiPriority w:val="99"/>
    <w:semiHidden/>
    <w:unhideWhenUsed/>
    <w:rsid w:val="00F26885"/>
    <w:pPr>
      <w:spacing w:after="0" w:line="240" w:lineRule="auto"/>
    </w:pPr>
    <w:rPr>
      <w:rFonts w:ascii="Verdana" w:hAnsi="Verdana"/>
      <w:sz w:val="20"/>
      <w:szCs w:val="20"/>
    </w:rPr>
  </w:style>
  <w:style w:type="character" w:customStyle="1" w:styleId="FunotentextZchn">
    <w:name w:val="Fußnotentext Zchn"/>
    <w:basedOn w:val="Absatz-Standardschriftart"/>
    <w:link w:val="Funotentext"/>
    <w:uiPriority w:val="99"/>
    <w:semiHidden/>
    <w:rsid w:val="00F26885"/>
    <w:rPr>
      <w:rFonts w:ascii="Verdana" w:hAnsi="Verdana"/>
      <w:sz w:val="20"/>
      <w:szCs w:val="20"/>
    </w:rPr>
  </w:style>
  <w:style w:type="character" w:styleId="Funotenzeichen">
    <w:name w:val="footnote reference"/>
    <w:basedOn w:val="Absatz-Standardschriftart"/>
    <w:uiPriority w:val="99"/>
    <w:semiHidden/>
    <w:unhideWhenUsed/>
    <w:rsid w:val="00F26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203">
      <w:bodyDiv w:val="1"/>
      <w:marLeft w:val="0"/>
      <w:marRight w:val="0"/>
      <w:marTop w:val="0"/>
      <w:marBottom w:val="0"/>
      <w:divBdr>
        <w:top w:val="none" w:sz="0" w:space="0" w:color="auto"/>
        <w:left w:val="none" w:sz="0" w:space="0" w:color="auto"/>
        <w:bottom w:val="none" w:sz="0" w:space="0" w:color="auto"/>
        <w:right w:val="none" w:sz="0" w:space="0" w:color="auto"/>
      </w:divBdr>
      <w:divsChild>
        <w:div w:id="1134710581">
          <w:marLeft w:val="0"/>
          <w:marRight w:val="0"/>
          <w:marTop w:val="0"/>
          <w:marBottom w:val="0"/>
          <w:divBdr>
            <w:top w:val="none" w:sz="0" w:space="0" w:color="auto"/>
            <w:left w:val="none" w:sz="0" w:space="0" w:color="auto"/>
            <w:bottom w:val="none" w:sz="0" w:space="0" w:color="auto"/>
            <w:right w:val="none" w:sz="0" w:space="0" w:color="auto"/>
          </w:divBdr>
        </w:div>
        <w:div w:id="827281257">
          <w:marLeft w:val="0"/>
          <w:marRight w:val="0"/>
          <w:marTop w:val="0"/>
          <w:marBottom w:val="0"/>
          <w:divBdr>
            <w:top w:val="none" w:sz="0" w:space="0" w:color="auto"/>
            <w:left w:val="none" w:sz="0" w:space="0" w:color="auto"/>
            <w:bottom w:val="none" w:sz="0" w:space="0" w:color="auto"/>
            <w:right w:val="none" w:sz="0" w:space="0" w:color="auto"/>
          </w:divBdr>
        </w:div>
      </w:divsChild>
    </w:div>
    <w:div w:id="1076325206">
      <w:bodyDiv w:val="1"/>
      <w:marLeft w:val="0"/>
      <w:marRight w:val="0"/>
      <w:marTop w:val="0"/>
      <w:marBottom w:val="0"/>
      <w:divBdr>
        <w:top w:val="none" w:sz="0" w:space="0" w:color="auto"/>
        <w:left w:val="none" w:sz="0" w:space="0" w:color="auto"/>
        <w:bottom w:val="none" w:sz="0" w:space="0" w:color="auto"/>
        <w:right w:val="none" w:sz="0" w:space="0" w:color="auto"/>
      </w:divBdr>
      <w:divsChild>
        <w:div w:id="1321282">
          <w:marLeft w:val="0"/>
          <w:marRight w:val="0"/>
          <w:marTop w:val="0"/>
          <w:marBottom w:val="0"/>
          <w:divBdr>
            <w:top w:val="none" w:sz="0" w:space="0" w:color="auto"/>
            <w:left w:val="none" w:sz="0" w:space="0" w:color="auto"/>
            <w:bottom w:val="none" w:sz="0" w:space="0" w:color="auto"/>
            <w:right w:val="none" w:sz="0" w:space="0" w:color="auto"/>
          </w:divBdr>
        </w:div>
      </w:divsChild>
    </w:div>
    <w:div w:id="1608541171">
      <w:bodyDiv w:val="1"/>
      <w:marLeft w:val="0"/>
      <w:marRight w:val="0"/>
      <w:marTop w:val="0"/>
      <w:marBottom w:val="0"/>
      <w:divBdr>
        <w:top w:val="none" w:sz="0" w:space="0" w:color="auto"/>
        <w:left w:val="none" w:sz="0" w:space="0" w:color="auto"/>
        <w:bottom w:val="none" w:sz="0" w:space="0" w:color="auto"/>
        <w:right w:val="none" w:sz="0" w:space="0" w:color="auto"/>
      </w:divBdr>
      <w:divsChild>
        <w:div w:id="1353647131">
          <w:marLeft w:val="0"/>
          <w:marRight w:val="0"/>
          <w:marTop w:val="0"/>
          <w:marBottom w:val="0"/>
          <w:divBdr>
            <w:top w:val="none" w:sz="0" w:space="0" w:color="auto"/>
            <w:left w:val="none" w:sz="0" w:space="0" w:color="auto"/>
            <w:bottom w:val="none" w:sz="0" w:space="0" w:color="auto"/>
            <w:right w:val="none" w:sz="0" w:space="0" w:color="auto"/>
          </w:divBdr>
        </w:div>
      </w:divsChild>
    </w:div>
    <w:div w:id="1670057215">
      <w:bodyDiv w:val="1"/>
      <w:marLeft w:val="0"/>
      <w:marRight w:val="0"/>
      <w:marTop w:val="0"/>
      <w:marBottom w:val="0"/>
      <w:divBdr>
        <w:top w:val="none" w:sz="0" w:space="0" w:color="auto"/>
        <w:left w:val="none" w:sz="0" w:space="0" w:color="auto"/>
        <w:bottom w:val="none" w:sz="0" w:space="0" w:color="auto"/>
        <w:right w:val="none" w:sz="0" w:space="0" w:color="auto"/>
      </w:divBdr>
    </w:div>
    <w:div w:id="20881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dnb.de/download/attachments/223723127/Proposal_2023-XX_Field_361.pdf?version=1&amp;modificationDate=1667921297000&amp;api=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sts.dnb.de/pipermail/datenformate/2022-August/00023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dnb.de/display/GND/GND-mul" TargetMode="External"/><Relationship Id="rId5" Type="http://schemas.openxmlformats.org/officeDocument/2006/relationships/footnotes" Target="footnotes.xml"/><Relationship Id="rId10" Type="http://schemas.openxmlformats.org/officeDocument/2006/relationships/hyperlink" Target="https://wiki.dnb.de/download/attachments/106927515/EH-W-11.pdf" TargetMode="External"/><Relationship Id="rId4" Type="http://schemas.openxmlformats.org/officeDocument/2006/relationships/webSettings" Target="webSettings.xml"/><Relationship Id="rId9" Type="http://schemas.openxmlformats.org/officeDocument/2006/relationships/hyperlink" Target="https://www.bibliotheksverband.de/sites/default/files/2020-12/Empfehlungen%20Sammlungen%20in%20der%20Provenienzerschlie&#223;u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c.gov/marc/bibliographic/bd561.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Deutsche Nationalbibliothek</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Behrens, Renate</dc:creator>
  <cp:keywords/>
  <dc:description/>
  <cp:lastModifiedBy>Scheibe, Michaela</cp:lastModifiedBy>
  <cp:revision>6</cp:revision>
  <dcterms:created xsi:type="dcterms:W3CDTF">2022-11-09T20:02:00Z</dcterms:created>
  <dcterms:modified xsi:type="dcterms:W3CDTF">2022-11-09T22:05:00Z</dcterms:modified>
</cp:coreProperties>
</file>